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https://www.autoritedelaconcurrence.fr/fr/decision-de-controle-des-concentrations/relative-lacquisition-de-la-societe-des-etablissements-jean</w:t>
      </w:r>
    </w:p>
    <w:p>
      <w:r>
        <w:t>Pages translated : 6</w:t>
      </w:r>
    </w:p>
    <w:p/>
    <w:p>
      <w:r>
        <w:rPr>
          <w:b/>
        </w:rPr>
        <w:t>[Pages 1–3]</w:t>
      </w:r>
    </w:p>
    <w:p>
      <w:r>
        <w:t xml:space="preserve">FRENCH REPUBLIC  </w:t>
        <w:br/>
        <w:t xml:space="preserve">Decision No. 12-DCC-11 of February 6, 2012  </w:t>
        <w:br/>
        <w:t>regarding the acquisition of the company Etablissements Jean Didier et Cie by Pro-à-Pro Distribution SA</w:t>
      </w:r>
    </w:p>
    <w:p>
      <w:r>
        <w:t xml:space="preserve">The Competition Authority,  </w:t>
        <w:br/>
        <w:t xml:space="preserve">Having regard to the notification file submitted to the merger service on June 10, 2011, and declared complete on January 3, 2012, concerning the acquisition of all shares and voting rights of the company Etablissements Jean Didier et Cie by Pro-à-Pro Distribution, formalized by a bilateral promise of share transfer subject to conditions precedent signed on March 21, 2003;  </w:t>
        <w:br/>
        <w:t xml:space="preserve">Having regard to Book IV of the Commercial Code relating to price freedom and competition, and in particular Articles L. 430-1 to L. 430-7;  </w:t>
        <w:br/>
        <w:t xml:space="preserve">Having regard to the supplementary elements provided by the parties during the investigation;  </w:t>
        <w:br/>
        <w:t>Adopts the following decision:</w:t>
      </w:r>
    </w:p>
    <w:p>
      <w:r>
        <w:t xml:space="preserve">I. The companies involved and the transaction  </w:t>
        <w:br/>
        <w:t xml:space="preserve">1. Ets Fr. Colruyt SA is a Belgian company, head of the Colruyt group, which operates in the retail trade predominantly in food and wholesale trade. The group is present in France through its 100% subsidiary Pro-à-Pro Distribution SA. This company operates, through the Ripotot group which it controls, supermarkets in the North-East quarter of France and ensures the wholesale sale of food products to affiliated independent food stores. Finally, the group is active as a wholesaler to the food service industry (hereinafter "RHF") both in mainland France and in the overseas departments and operates "cash and carry" stores in the large North-East quarter of France.  </w:t>
        <w:br/>
        <w:t>2. The company Etablissements Jean Didier et Cie (hereinafter "Jean Didier") is a public limited company specialized in the wholesale distribution of food products to the food service industry (hereinafter "RHF"). It is present in the overseas departments and in the Paris region.</w:t>
      </w:r>
    </w:p>
    <w:p>
      <w:r>
        <w:t xml:space="preserve">3. Under the terms of the bilateral promise of share transfer subject to conditions precedent signed on March 21, 2003, the transaction involves the acquisition by Pro-à-Pro Distribution of the entire share capital of the company Jean Didier.  </w:t>
        <w:br/>
        <w:t>4. As it results in the exclusive control by Pro-à-Pro Distribution of the company Jean Didier, the notified transaction constitutes a concentration within the meaning of Article L. 430-1 of the Commercial Code. As of the date of completion of the transaction, the companies involved had a combined total worldwide turnover of more than 150 million euros (Colruyt group: 3.1 billion euros for the fiscal year ending December 31, 2002; Jean Didier: [...] million euros for the fiscal year ending March 31, 2003). Each achieved in France a turnover exceeding 15 million euros (Colruyt group: 265 million euros for the fiscal year ending December 31, 2002; Jean Didier: [...] million euros for the fiscal year ending March 31, 2003). Given these turnover figures, the transaction did not have a community dimension. However, the control thresholds mentioned in point I of Article L. 430-2 of the Commercial Code in force at the date of the transaction were exceeded. The present transaction is therefore subject to the provisions of Articles L. 430-3 and following of the Commercial Code relating to economic concentration.</w:t>
      </w:r>
    </w:p>
    <w:p>
      <w:r>
        <w:t xml:space="preserve">II. Delimitation of relevant markets  </w:t>
        <w:br/>
        <w:t xml:space="preserve">A. THE SERVICE MARKETS  </w:t>
        <w:br/>
        <w:t xml:space="preserve">5. The parties to the transaction are both active in the sector of food product distribution to professionals in the RHF. As such, they are also present upstream as buyers in the market for the supply of food products.  </w:t>
        <w:br/>
        <w:t xml:space="preserve">1. THE UPSTREAM MARKETS FOR THE SUPPLY OF FOOD PRODUCTS  </w:t>
        <w:br/>
        <w:t>6. Regarding the "upstream" supply markets, the decision-making practice of the competition authorities does not distinguish the sale of everyday consumer goods by producers to wholesalers from those made to other customers such as retailers or the RHF. However, it delineates as many relevant markets as there are product groups. In this case, the parties to the transaction are simultaneously active in this market as buyers of grocery and confectionery products.</w:t>
      </w:r>
    </w:p>
    <w:p>
      <w:r>
        <w:t xml:space="preserve">2. THE DOWNSTREAM MARKETS FOR THE DISTRIBUTION OF FOOD PRODUCTS  </w:t>
        <w:br/>
        <w:t xml:space="preserve">7. Downstream, regarding the wholesale distribution of food products, the European Commission, the Competition Council, and the minister have repeatedly identified the existence of distinct markets by distribution channel: firstly, large-scale distribution and food-dominant stores, secondly, the RHF, and finally, the agri-food industry. In this case, the parties involved are simultaneously active in the sector of food product distribution to the RHF.  </w:t>
        <w:br/>
        <w:t xml:space="preserve">8. The RHF is traditionally composed of independent professionals (cafés, hotels, restaurants, hereinafter "CHR"), restaurant chains (corporate catering, etc.), and communities (hospitals, military, schools, etc.) whose activity consists of preparing and offering their clientele a particular mode of catering forming a menu and generally including a starter, a main course, cheese, and/or dessert.  </w:t>
        <w:br/>
        <w:t xml:space="preserve">9. Furthermore, a segmentation by type of clients has been considered, distinguishing "large accounts" (restaurant chains and certain communities) that negotiate consolidated purchases on a national basis and smaller clients (notably CHR) whose supplies occur on a very short periodic basis. However, the Authority recently noted that, insofar as the marketed products and delivery conditions were identical for these two categories of clientele, there was no need to retain two distinct markets.  </w:t>
        <w:br/>
        <w:t xml:space="preserve">10. Regarding segmentation by types of products, four main families can be distinguished within the wholesale trade of food products: (i) fresh products, (ii) beverages, (iii) frozen products and ice creams, (iv) grocery products and confectionery (hereinafter "dry products"). The demand from food-dominant stores generally covers all of these products, and wholesalers can offer a wide assortment of products. Nevertheless, many of them focus their activity on one of these families. In this case, the only overlap of activity concerns the wholesale sale of dry products.  </w:t>
        <w:br/>
        <w:t xml:space="preserve">11. Finally, the Authority considered it appropriate to distinguish cash and carry warehouses from traditional wholesale trade given the differences observed on both the demand and supply sides. The competitive analysis will therefore be conducted solely on the segment of traditional wholesale trade on which the transaction generates an overlap of activity.  </w:t>
        <w:br/>
        <w:t>12. In this case, however, the question of the precise delimitation of these markets can be left open, as the conclusions of the analysis remain unchanged.</w:t>
      </w:r>
    </w:p>
    <w:p>
      <w:r>
        <w:rPr>
          <w:b/>
        </w:rPr>
        <w:t>[Pages 4–6]</w:t>
      </w:r>
    </w:p>
    <w:p>
      <w:r>
        <w:t xml:space="preserve">B. GEOGRAPHICAL DELIMITATION OF MARKETS  </w:t>
        <w:br/>
        <w:t xml:space="preserve">13. The parties to the transaction are simultaneously active in the wholesale market for dry products intended for the food service industry in Martinique, Guyana, Réunion, and Guadeloupe as well as in mainland France.  </w:t>
        <w:br/>
        <w:t xml:space="preserve">1. THE UPSTREAM MARKET FOR THE SUPPLY OF DRY FOOD PRODUCTS  </w:t>
        <w:br/>
        <w:t xml:space="preserve">14. The geographical dimension of the market for the supply of food products is national. Indeed, due to consumer preferences, tastes, and eating habits, price differences, variations in market shares held by the main operators according to Member States, and the presence of manufacturer or distributor brands marketed only at the national level, an expansion of the geographical dimension at the European level is not relevant.  </w:t>
        <w:br/>
        <w:t xml:space="preserve">15. However, regarding the overseas departments (DOM), the aforementioned opinion 09-D-45 of the Authority highlighted the very specific nature of the supply circuits for consumer goods and its effects on the competitive balance of the markets concerned. Regarding the supply of food-dominant retail chains, the Authority noted that large-scale retailers in the DOM source a substantial part of their needs from local producers, in order to satisfy local tastes and eating habits but also to limit import costs, including maritime freight and customs duties. Regarding the supply of wholesalers, the notifying party indicated that local sourcing represented only about [5-10]% of their purchases.  </w:t>
        <w:br/>
        <w:t xml:space="preserve">16. In this case, the precise delimitation of these markets can be left open, with the conclusions of the analysis remaining unchanged. The competitive analysis will be conducted both at the national level and on the supply markets limited to each of the islands concerned by the transaction.  </w:t>
        <w:br/>
        <w:t xml:space="preserve">2. THE DOWNSTREAM MARKET FOR THE DISTRIBUTION OF FOOD PRODUCTS  </w:t>
        <w:br/>
        <w:t xml:space="preserve">17. Recent national decision-making practice has considered that the wholesale markets for food distribution to the food service industry have a dual dimension: a national dimension, resulting from the characteristics of the demand from major food service accounts, which negotiate their supply conditions at the national level; and a local dimension leading to the determination of catchment areas where wholesalers compete to meet the demand of cafés, hotels, and restaurants (CHR) and local shops.  </w:t>
        <w:br/>
        <w:t xml:space="preserve">18. In this case, the transaction generates overlaps in activity in mainland France as well as in Réunion, Guadeloupe, Martinique, and Guyana. In mainland France, however, no local area is affected by the transaction. Regarding Réunion, Guadeloupe, Martinique, and Guyana, the notifying party proposed to consider each island as a distinct market.  </w:t>
        <w:br/>
        <w:t xml:space="preserve">19. In this case, however, the precise delimitation of these markets can be left open, with the conclusions of the analysis remaining unchanged.  </w:t>
        <w:br/>
        <w:t xml:space="preserve">III. THE COMPETITIVE ANALYSIS OF THE TRANSACTION  </w:t>
        <w:br/>
        <w:t xml:space="preserve">A. THE UPSTREAM MARKET FOR THE SUPPLY OF DRY PRODUCTS  </w:t>
        <w:br/>
        <w:t xml:space="preserve">20. The parties concerned are simultaneously present in the market for the supply of dry food products.  </w:t>
        <w:br/>
        <w:t xml:space="preserve">21. Following the transaction, the notifying party estimated that the new entity accounted for less than [0-5]% of purchases both in a national market dimension and in a market restricted to each of the islands concerned by the transaction at the date of the transaction. Suppliers have significant alternative outlets with numerous players in the large-scale retail sector, competing wholesalers, and agri-food manufacturers.  </w:t>
        <w:br/>
        <w:t xml:space="preserve">22. Since the date of completion of the transaction, the parties believe that the competitive situation has not changed substantially.  </w:t>
        <w:br/>
        <w:t xml:space="preserve">23. Thus, the notified transaction has not been likely to significantly strengthen the purchasing power of the companies concerned vis-à-vis their suppliers.  </w:t>
        <w:br/>
        <w:t xml:space="preserve">B. THE DOWNSTREAM MARKET FOR THE DISTRIBUTION OF DRY PRODUCTS  </w:t>
        <w:br/>
        <w:t xml:space="preserve">24. In mainland France, the notifying party estimates that the new entity had a market share of less than [5-10]% in 2003 in the national wholesale market for dry products intended for the food service industry and continued to face competition from several national wholesalers such as Prodirest ([20-30]%), Aldis ([10-20]%), Pomona ([5-10]%). It further estimates that the competitive situation has not changed significantly since the transaction. Moreover, the transaction did not generate any overlaps in local areas.  </w:t>
        <w:br/>
        <w:t xml:space="preserve">25. In the wholesale market for dry products intended for the food service industry in Réunion, Guadeloupe, Martinique, and Guyana, the notifying party estimated that the new entity held a market share that did not exceed [10-20]% in 2003, resulting from a limited accumulation of market shares (less than [0-5]%). In each of the islands, the new entity continued to face competition from several wholesalers such as Score Jumbo Score and SDM in Réunion, Sodial and Ayassally et fils in Guadeloupe, Multigros and Lancry in Martinique, Sofrigu and NG Kontia in Guyana.  </w:t>
        <w:br/>
        <w:t xml:space="preserve">26. The notifying party indicated that since the completion of the transaction, the new entity has experienced a constant increase in its turnover in all the concerned DOM. However, this development has not substantially changed its competitive position, with its market shares remaining below [10-20]% according to the best estimates of the parties.  </w:t>
        <w:br/>
        <w:t xml:space="preserve">27. It follows from the elements presented above that the transaction has not harmed competition in all the markets concerned by the transaction.  </w:t>
        <w:br/>
        <w:t xml:space="preserve">DECIDES  </w:t>
        <w:br/>
        <w:t xml:space="preserve">Sole Article: The transaction notified under number 11-111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