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https://www.autoritedelaconcurrence.fr/fr/decision-de-controle-des-concentrations/relative-lacquisition-de-la-societe-dominique-didier</w:t>
      </w:r>
    </w:p>
    <w:p>
      <w:r>
        <w:t>Pages translated : 2</w:t>
      </w:r>
    </w:p>
    <w:p/>
    <w:p>
      <w:r>
        <w:rPr>
          <w:b/>
        </w:rPr>
        <w:t>[Pages 1–2]</w:t>
      </w:r>
    </w:p>
    <w:p>
      <w:r>
        <w:t xml:space="preserve">FRENCH REPUBLIC  </w:t>
        <w:br/>
        <w:t xml:space="preserve">Decision No. 19-DCC-153 of July 31, 2019  </w:t>
        <w:br/>
        <w:t xml:space="preserve">regarding the acquisition of the company Dominique Didier Automobiles Cahors by the company Faurie Participations  </w:t>
        <w:br/>
        <w:t xml:space="preserve">The Competition Authority,  </w:t>
        <w:br/>
        <w:t xml:space="preserve">Having regard to the complete notification file sent to the mergers department on July 8, 2019, concerning the acquisition of the company Dominique Didier Automobiles Cahors by the company Faurie Participations, formalized by a transfer protocol dated June 7, 2019.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Faurie Participations of the company Dominique Didier Automobiles Cahors, which primarily operates several car dealerships of the brands Renault and Dacia, located in Cahors (46), Gourdon (46), and Souillac (46). This is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19-178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