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https://www.autoritedelaconcurrence.fr/fr/decision-de-controle-des-concentrations/relative-lacquisition-de-la-societe-duriat-par-la-societe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11-DCC-47 of March 24, 2011  </w:t>
        <w:br/>
        <w:t xml:space="preserve">regarding the acquisition of the company Duriat by the company ITM Alimentaire Ouest  </w:t>
        <w:br/>
        <w:t xml:space="preserve">The Competition Authority,  </w:t>
        <w:br/>
        <w:t xml:space="preserve">Having regard to the complete notification file submitted to the mergers department on March 4, 2011,  </w:t>
        <w:br/>
        <w:t xml:space="preserve">concerning the acquisition by the company ITM Alimentaire Ouest of exclusive control of the company  </w:t>
        <w:br/>
        <w:t xml:space="preserve">Duriat, formalized by a share transfer agreement, subject to conditions precedent, dated February 16,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Duriat, which operates  </w:t>
        <w:br/>
        <w:t xml:space="preserve">a hypermarket under the Intermarché brand in Vitré (35500), by the company ITM Alimentaire  </w:t>
        <w:br/>
        <w:t xml:space="preserve">Ouest, and constitutes a concentration operation within the meaning of Article L. 430-1 of the Commercial Code.  </w:t>
        <w:br/>
        <w:t xml:space="preserve">Given the turnover achieved by the companies concerned, the operation does not have a community dimension.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11-0040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