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https://www.autoritedelaconcurrence.fr/fr/decision-de-controle-des-concentrations/relative-lacquisition-de-la-societe-europeenne-food-par-la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11-DCC-76 of May 12, 2011  </w:t>
        <w:br/>
        <w:t xml:space="preserve">regarding the acquisition of the company Européenne Food by the company  </w:t>
        <w:br/>
        <w:t xml:space="preserve">TCR Capital  </w:t>
        <w:br/>
        <w:t>The Competition Authority,</w:t>
      </w:r>
    </w:p>
    <w:p>
      <w:r>
        <w:t xml:space="preserve">Having regard to the complete notification file submitted to the mergers department on April 20, 2011,  </w:t>
        <w:br/>
        <w:t>concerning the acquisition of the company Européenne Food by the company TCR Capital;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 xml:space="preserve">Adopts the following decision:  </w:t>
        <w:br/>
        <w:t xml:space="preserve">1. The notified operation consists of the exclusive control acquisition of the company Européenne Food,  </w:t>
        <w:br/>
        <w:t xml:space="preserve">active in the wholesale distribution of food products, by the investment fund TCR Capital, and constitutes a concentration operation within the meaning of Article L. 430-1 of the Commercial Code. Given the turnover achieved by the concerned companies, the operation does not have a community dimension. On the other hand, the control thresholds relating to concentration operations mentioned in point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11-0062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