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https://www.autoritedelaconcurrence.fr/fr/decision-de-controle-des-concentrations/relative-lacquisition-de-la-societe-financiere-parcours-par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11-DCC-52 of April 7, 2011  </w:t>
        <w:br/>
        <w:t xml:space="preserve">regarding the acquisition of the company Financière Parcours by  </w:t>
        <w:br/>
        <w:t xml:space="preserve">Wendel SA  </w:t>
        <w:br/>
        <w:t xml:space="preserve">The Competition Authority,  </w:t>
        <w:br/>
        <w:t xml:space="preserve">Having regard to the complete notification file submitted to the mergers department on March 22, 2011,  </w:t>
        <w:br/>
        <w:t xml:space="preserve">concerning the acquisition of the company Financière Parcours SAS by Wendel SA, formalized by an  </w:t>
        <w:br/>
        <w:t xml:space="preserve">acquisition agreement dated March 21,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Wendel SA is a company holding stakes in several companies active in  </w:t>
        <w:br/>
        <w:t xml:space="preserve">various sectors (inspection, control, and certification services, production and sale  </w:t>
        <w:br/>
        <w:t xml:space="preserve">of electrical installations, chemical products, ...).  </w:t>
        <w:br/>
        <w:t xml:space="preserve">2. The notified operation consists of the exclusive control by Wendel SA of the company  </w:t>
        <w:br/>
        <w:t xml:space="preserve">Financière Parcours SAS, active in the long-term vehicle rental market and fleet management. It constitutes a concentration operation within the meaning of  </w:t>
        <w:br/>
        <w:t xml:space="preserve">Article L. 430-1 of the Commercial Code. Given the revenues generated by the  </w:t>
        <w:br/>
        <w:t xml:space="preserve">concerned companies, the operation does not have a community dimension. On the other hand,  </w:t>
        <w:br/>
        <w:t xml:space="preserve">the control thresholds related to concentration operations mentioned in point 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3.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11-0034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