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https://www.autoritedelaconcurrence.fr/fr/decision-de-controle-des-concentrations/relative-lacquisition-de-la-societe-gallieni-automobiles</w:t>
      </w:r>
    </w:p>
    <w:p>
      <w:r>
        <w:t>Pages translated : 2</w:t>
      </w:r>
    </w:p>
    <w:p/>
    <w:p>
      <w:r>
        <w:rPr>
          <w:b/>
        </w:rPr>
        <w:t>[Pages 1–2]</w:t>
      </w:r>
    </w:p>
    <w:p>
      <w:r>
        <w:t xml:space="preserve">FRENCH REPUBLIC  </w:t>
        <w:br/>
        <w:t xml:space="preserve">Decision No. 12-DCC-52 of April 19, 2012  </w:t>
        <w:br/>
        <w:t xml:space="preserve">regarding the acquisition of Gallieni Automobiles by By My Car Group  </w:t>
        <w:br/>
        <w:t xml:space="preserve">The Competition Authority,  </w:t>
        <w:br/>
        <w:t xml:space="preserve">Having regard to the complete notification file submitted to the mergers department on March 26, 2012,  </w:t>
        <w:br/>
        <w:t xml:space="preserve">concerning the acquisition of Gallieni Automobiles by By My Car Group,  </w:t>
        <w:br/>
        <w:t xml:space="preserve">formalized by a share transfer agreement under suspensive conditions dated March 1, 2012;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Gallieni Automobiles, operating two Ford brand car dealerships located in the cities of Lyon and Pierre Bénite (69), by By My Car Group, which is itself active in the distribution of motor vehicles in several French departments, and constitutes a concentration operation within the meaning of Article L. 430-1 of the Commercial Code. Given the turnover achieved by the companies concerned, the operation does not have a community dimension.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12-050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