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https://www.autoritedelaconcurrence.fr/fr/decision-de-controle-des-concentrations/relative-lacquisition-de-la-societe-gjp-groupe-jacques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11-DCC-208 of December 20, 2011  </w:t>
        <w:br/>
        <w:t xml:space="preserve">regarding the acquisition of the company GJP Groupe Jacques Piron by the  </w:t>
        <w:br/>
        <w:t>company Metin Holding</w:t>
      </w:r>
    </w:p>
    <w:p>
      <w:r>
        <w:t>The Competition Authority,</w:t>
      </w:r>
    </w:p>
    <w:p>
      <w:r>
        <w:t xml:space="preserve">Having regard to the complete notification file submitted to the mergers department on  </w:t>
        <w:br/>
        <w:t xml:space="preserve">November 30, 2011, concerning the acquisition of the company GJP by the company Metin Holding,  </w:t>
        <w:br/>
        <w:t>formalized by a sale transfer agreement dated November 7, 2011;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of the company GJP, operating a  </w:t>
        <w:br/>
        <w:t xml:space="preserve">car dealership under the Volkswagen and Audi brands in the city of Saint Maur des Fosses (94), by the  </w:t>
        <w:br/>
        <w:t xml:space="preserve">company Metin Holding which operates car dealerships in Seine-et-Marne (77) and in Essonne (91).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have a community dimension. On the other hand,  </w:t>
        <w:br/>
        <w:t xml:space="preserve">the control thresholds related to retail trade mentioned in point II of Article  </w:t>
        <w:br/>
        <w:t xml:space="preserve">L. 430-2 of the Commercial Code are exceeded. The present operation is therefore subject to the  </w:t>
        <w:br/>
        <w:t xml:space="preserve">provisions of Articles L. 430-3 and following of the Commercial Code relating to economic  </w:t>
        <w:br/>
        <w:t>concentration.</w:t>
      </w:r>
    </w:p>
    <w:p>
      <w:r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11-233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