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https://www.autoritedelaconcurrence.fr/fr/decision-de-controle-des-concentrations/relative-lacquisition-de-la-societe-h2s-par-la-societe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11-DCC-177 of November 24, 2011  </w:t>
        <w:br/>
        <w:t xml:space="preserve">regarding the acquisition of the company H2S by the company Gueudet Frères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27, 2011, concerning the acquisition of the company H2S by the company Gueudet Frères;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H2S, operating six  </w:t>
        <w:br/>
        <w:t xml:space="preserve">Renault-Dacia brand car dealerships in Haute-Savoie (74), by the company  </w:t>
        <w:br/>
        <w:t xml:space="preserve">Gueudet Frères, which operates car dealerships in Picardy and northern France. It constitutes a concentration operation within the meaning of Article L. 430-1 of the Commercial Code. Given the turnover achieved by the companies concerned, the operation does not have a community dimension. On the other hand, the retail trade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11-0202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