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https://www.autoritedelaconcurrence.fr/fr/decision-de-controle-des-concentrations/relative-lacquisition-de-la-societe-itam-distribution-par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12-DCC-79 of June 7, 2012  </w:t>
        <w:br/>
        <w:t xml:space="preserve">regarding the acquisition of ITAM Distribution by ITM Alimentaire Sud Est  </w:t>
        <w:br/>
        <w:t xml:space="preserve">The Competition Authority,  </w:t>
        <w:br/>
        <w:t xml:space="preserve">Having regard to the complete notification file submitted to the mergers department on May 15, 2012, concerning the acquisition of ITAM Distribution by ITM Alimentaire Sud Est, formalized by a transfer protocol dated May 9, 2012;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by ITM Alimentaire Sud Est of ITAM Distribution, which operates a business under the Intermarché brand with a predominant food focus, covering an area of 2,926 m² located in Tarascon (13). It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12-084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