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https://www.autoritedelaconcurrence.fr/fr/decision-de-controle-des-concentrations/relative-lacquisition-de-la-societe-jayaco-par-la-societe</w:t>
      </w:r>
    </w:p>
    <w:p>
      <w:r>
        <w:t>Pages translated : 2</w:t>
      </w:r>
    </w:p>
    <w:p/>
    <w:p>
      <w:r>
        <w:rPr>
          <w:b/>
        </w:rPr>
        <w:t>[Pages 1–2]</w:t>
      </w:r>
    </w:p>
    <w:p>
      <w:r>
        <w:t xml:space="preserve">REPUBLIC OF FRANCE  </w:t>
        <w:br/>
        <w:t xml:space="preserve">Decision No. 11-DCC-29 of February 24, 2011  </w:t>
        <w:br/>
        <w:t xml:space="preserve">regarding the acquisition of the company Jayaco by the company Clarnaud  </w:t>
        <w:br/>
        <w:t xml:space="preserve">The Competition Authority,  </w:t>
        <w:br/>
        <w:t xml:space="preserve">Having regard to the complete notification file submitted to the mergers department on January 24, 2011,  </w:t>
        <w:br/>
        <w:t xml:space="preserve">concerning the acquisition of the company Jayaco by the company Clarnaud, formalized by a share transfer agreement under suspensive conditions signed on January 17, 2011;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of [&gt;50]% in full ownership and [&lt;50]% in  </w:t>
        <w:br/>
        <w:t xml:space="preserve">usufruct of the shares of the company Jayaco, which operates a hypermarket under the Intermarché brand in Saint Jean d’Angely (17), by the company Clarnaud, with the bare ownership being retained by the company ITM Alimentaire Centre Ouest and the company ITM Entreprises retaining a preferential share. This operation constitutes a concentration operation within the meaning of Article L. 430-1 of the Commercial Code. Given the turnover achieved by the companies concerned, the operation does not have a community dimension. On the other hand, the thresholds for control relating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11-0013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