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https://www.autoritedelaconcurrence.fr/fr/decision-de-controle-des-concentrations/relative-lacquisition-de-la-societe-kwik-fit-europe-bv-par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11-DCC-174 of November 29, 2011  </w:t>
        <w:br/>
        <w:t xml:space="preserve">concerning the acquisition of the company Kwik-Fit Europe B.V. by  </w:t>
        <w:br/>
        <w:t>Mr. Jacques Le Foll and the company The MCB Equity Fund Limited</w:t>
      </w:r>
    </w:p>
    <w:p>
      <w:r>
        <w:t xml:space="preserve">The Competition Authority,  </w:t>
        <w:br/>
        <w:t xml:space="preserve">Having regard to the complete notification file submitted to the mergers department on November 9, 2011, concerning the joint acquisition of control of the company Kwik-Fit Europe B.V. by Mr. Jacques Le Foll and the company The MCB Equity Fund Limited;  </w:t>
        <w:br/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transaction involves the joint acquisition of control of the company Kwik-Fit Europe B.V., active in the automotive repair sector, by Mr. Jacques Le Foll and the company The MCB Equity Fund Limited, a company controlled by The Mauritius Commercial Bank Limited, a banking institution of the Republic of Mauritius, and constitutes a concentration operation within the meaning of Article L. 430-1 of the Commercial Code. Given the turnover achieved by the companies concerned, the transaction does not have a community dimension. However, the control thresholds relating to concentration operations mentioned in point I of Article L. 430-2 of the Commercial Code are exceeded. This transaction is therefore subject to the provisions of Articles L. 430-3 and following of the Commercial Code relating to economic concentration.  </w:t>
        <w:br/>
        <w:t>2. In light of the elements of the file, the transaction is not likely to harm competition in the relevant markets.</w:t>
      </w:r>
    </w:p>
    <w:p>
      <w:r>
        <w:t xml:space="preserve">DECIDES  </w:t>
        <w:br/>
        <w:t xml:space="preserve">Sole Article: The transaction notified under number 11-0212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