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https://www.autoritedelaconcurrence.fr/fr/decision-de-controle-des-concentrations/relative-lacquisition-de-la-societe-mertz-conteneurs-par-le</w:t>
      </w:r>
    </w:p>
    <w:p>
      <w:r>
        <w:t>Pages translated : 2</w:t>
      </w:r>
    </w:p>
    <w:p/>
    <w:p>
      <w:r>
        <w:rPr>
          <w:b/>
        </w:rPr>
        <w:t>[Pages 1–2]</w:t>
      </w:r>
    </w:p>
    <w:p>
      <w:r>
        <w:t xml:space="preserve">FRENCH REPUBLIC  </w:t>
        <w:br/>
        <w:t xml:space="preserve">Decision No. 11-DCC-103 of July 8, 2011  </w:t>
        <w:br/>
        <w:t xml:space="preserve">regarding the acquisition of the company Mertz Conteneurs by the venture capital fund Cobalt Investment  </w:t>
        <w:br/>
        <w:t xml:space="preserve">The Competition Authority,  </w:t>
        <w:br/>
        <w:t xml:space="preserve">Having regard to the complete notification file submitted to the mergers department on June 20, 2011, concerning the acquisition of the company Mertz Conteneurs by the venture capital fund Cobalt Investment;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Mertz Conteneurs, active in the sectors of road transport of containers and hazardous materials, by the investment fund Cobalt Investment, and constitutes a concentration operation within the meaning of Article L. 430-1 of the Commercial Code. Given the turnover achieved by the companies concerned, the operation does not have a community dimension. However, the control thresholds relating to concentration operations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11-0120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