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https://www.autoritedelaconcurrence.fr/fr/decision-de-controle-des-concentrations/relative-lacquisition-de-la-societe-novescia-sas-par-cerba</w:t>
      </w:r>
    </w:p>
    <w:p>
      <w:r>
        <w:t>Pages translated : 7</w:t>
      </w:r>
    </w:p>
    <w:p/>
    <w:p>
      <w:r>
        <w:rPr>
          <w:b/>
        </w:rPr>
        <w:t>[Pages 1–3]</w:t>
      </w:r>
    </w:p>
    <w:p>
      <w:r>
        <w:t xml:space="preserve">FRENCH REPUBLIC  </w:t>
        <w:br/>
        <w:t xml:space="preserve">Decision No. 15-DCC-18 of March 2, 2015  </w:t>
        <w:br/>
        <w:t xml:space="preserve">regarding the acquisition of Novescia SAS  </w:t>
        <w:br/>
        <w:t xml:space="preserve">by Cerba European Lab SAS  </w:t>
        <w:br/>
        <w:t xml:space="preserve">The Competition Authority,  </w:t>
        <w:br/>
        <w:t xml:space="preserve">Having regard to the notification file submitted in full to the merger service on January 27, 2015, regarding the acquisition of Novescia SAS by Cerba European Lab SAS, formalized by a share transfer contract of Novescia dated December 19,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w:t>
        <w:br/>
        <w:t xml:space="preserve">1. PAI Partners SAS (hereinafter "PAI") is an investment company owned by its partners, none of whom individually or jointly control it. PAI manages three investment funds, PAI Europe IV, PAI Europe V, PAI Europe VI, and several other common investment funds that hold controlling interests in the capital of companies active in numerous fields of activity. PAI notably controls the company Cerba European Lab SAS1 (hereinafter "CEL"), which heads a group composed of companies active in the fields of medical biology and clinical trial biology in France, Belgium, Luxembourg, South Africa, the United States, Asia, and Australia. In France, its network of laboratories consists of numerous so-called "routine" laboratories and a specialized laboratory, Laboratoire Cerba.  </w:t>
        <w:br/>
        <w:t>1 See the decision of the Competition Authority No. 10-DCC-78 of July 19, 2010, regarding the acquisition of Cerba European Lab SAS by PAI Partners SAS.</w:t>
      </w:r>
    </w:p>
    <w:p>
      <w:r>
        <w:t xml:space="preserve">2. Novescia is a holding company whose shares are distributed among several companies active in the medical biology sector through a network of nearly […] medical biology laboratories in France.  </w:t>
        <w:br/>
        <w:t xml:space="preserve">3. The notified operation, formalized by a share transfer contract of the company Novescia, consists of the acquisition by CEL, directly and indirectly, of 100% of the capital of the company Novescia. The operation thus consists of the exclusive control of the company Novescia by PAI. Consequently, the operation constitutes a concentration within the meaning of Article L. 430-1 of the Commercial Code.  </w:t>
        <w:br/>
        <w:t xml:space="preserve">4. The companies concerned together achieve a total worldwide turnover excluding taxes of more than 150 million euros (PAI: […] euros for the fiscal year ending December 31, 2013; Novescia: […] euros for the same fiscal year). At least two of these companies have achieved a turnover in France exceeding 50 million euros (PAI: […] euros for the fiscal year ending December 31, 2013; Novescia: […] euros for the same fiscal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parties to the operation are simultaneously present in the medical biology sector. More specifically, CEL and Novescia own medical analysis laboratories whose activity consists of providing medical biology examination services. CEL also engages in specialized medical biology analysis in most medical fields such as infectious diseases, autoimmune diseases, allergies, endocrinology, oncology, toxicology, molecular genetics, prenatal diagnosis, and personalized medicine.  </w:t>
        <w:br/>
        <w:t xml:space="preserve">6. The parties to the operation are also present in the market for the supply of biology equipment, reagents, and consumables. CEL also engages as an ancillary activity in providing clinical research analysis services to pharmaceutical groups and biotechnology companies.  </w:t>
        <w:br/>
        <w:t xml:space="preserve">7. The effects of the operation will therefore be examined in the market for routine medical biology as well as in the markets for the supply of biology equipment, reagents, and consumables in terms of horizontal effects. The vertical effects of the operation between the markets for routine and specialized medical biology will also be examined.  </w:t>
        <w:br/>
        <w:t xml:space="preserve">A. THE MARKETS FOR MEDICAL BIOLOGY EXAMINATION SERVICES  </w:t>
        <w:br/>
        <w:t xml:space="preserve">1. SERVICE MARKETS  </w:t>
        <w:br/>
        <w:t xml:space="preserve">8. National and European competition authorities have identified a market for the provision of medical biology analyses. They have also considered, while leaving the question open, a segmentation between "routine" or specialized examinations2. Decision-making practice indeed notes that the activity of routine medical biology laboratories is not substitutable with that of specialized laboratories which handle rare biology acts and are subject to specific ministerial approval.  </w:t>
        <w:br/>
        <w:t xml:space="preserve">9. Medical biology examinations, composed of three phases, pre-analytical, analytical, and post-analytical, are performed by a medical biologist or, for certain phases, under their responsibility within a medical biology laboratory (hereinafter, "MBL") such as those owned by the parties.  </w:t>
        <w:br/>
        <w:t xml:space="preserve">10. Regarding the pricing of medical biology acts, it is set by a tripartite agreement between the National Health Insurance Fund, the State, and the representative unions of medical biology laboratory directors. The price applicable to examinations and associated ancillary costs, such as sampling and travel, is defined based on a "nomenclature of acts," which is binding on prescribers regarding compliance with medical indications that condition reimbursement by health insurance organizations as well as on medical biology analysis laboratories.  </w:t>
        <w:br/>
        <w:t xml:space="preserve">11. The notifying party specifies that the offer of specialized medical biology examinations comes from only a few laboratories, such as CEL, Biomnis, BPR, as well as university hospital centers. It consists of the provision of subcontracting services entrusted by MBLs, within the limit of 15% of the total activities of the MBL3. The notifying party also indicates that the demand for routine medical biology examinations primarily comes from patients, whereas the demand for specialized examinations comes from MBLs and hospitals.  </w:t>
        <w:br/>
        <w:t xml:space="preserve">12. The notifying party finally specifies that consumers are free to have their medical biology analyses performed in private MBLs or in MBLs located in a hospital establishment (health establishment, hospitals, university hospital centers).  </w:t>
        <w:br/>
        <w:t xml:space="preserve">13. In this case, the notifying party has provided an estimate of the market shares of the parties to the operation in the potential markets for "routine" and specialized medical biology analyses. However, the question of the exact definition of these markets may be left open, as the conclusions of the analysis will remain unchanged regardless of the delimitation retained.  </w:t>
        <w:br/>
        <w:t xml:space="preserve">2. GEOGRAPHICAL MARKETS  </w:t>
        <w:br/>
        <w:t xml:space="preserve">14. Decision-making practice has considered, while leaving the question open, to retain a national dimension for the market for specialized medical biology analyses and a local dimension for the market for routine medical biology analyses. Thus, the competition authorities have examined the effects of the operation in this sector at the regional or sub-regional level, even at the departmental level4.  </w:t>
        <w:br/>
        <w:t xml:space="preserve">2 See the decisions Letter from the Minister of Economy, Finance and Industry dated December 11, 2002, to the managers of the company Astorg II, regarding a concentration in the sector of medical biological analyses, published in BOCCRF No. 2004-04, letter from the Minister of Economy, Finance and Industry dated August 19, 2003, to the advisors of the Marcel Mérieux-Socamed laboratories group, regarding a concentration in the sector of medical biology analyses, published in BOCCRF No. 2004-07, C2008-106 / Letter from the Minister of Economy, Industry and Employment dated October 22, 2008, to the advisors of the company FCPR Duke Street Capital VI, regarding a concentration in the medical biology sector, BOCCRF No. 10 bis of December 22, 2008, as well as the decision of the European Commission of May 21, 2010, COMP./M.5805, 3i/Vedici Group.  </w:t>
        <w:br/>
        <w:t xml:space="preserve">3 Article L. 6211-19 of the Public Health Code.  </w:t>
        <w:br/>
        <w:t>4 See the aforementioned decisions.</w:t>
      </w:r>
    </w:p>
    <w:p>
      <w:r>
        <w:rPr>
          <w:b/>
        </w:rPr>
        <w:t>[Pages 4–6]</w:t>
      </w:r>
    </w:p>
    <w:p>
      <w:r>
        <w:t>15. The notifying party confirms this analysis and specifies that in this case, the parties to the transaction are simultaneously present in Réunion as well as in the regions of Île-de-France, Midi-Pyrénées, Nord-Pas-de-Calais, and Provence-Alpes-Côte-D’Azur. Finally, the parties to the transaction are both present in the departments of Bouches-du-Rhône (13), Haute-Garonne (31), Paris (75), Seine-Saint-Denis (93), and Val-de-Marne (94).</w:t>
      </w:r>
    </w:p>
    <w:p>
      <w:r>
        <w:t>16. In the sector of diagnostic and care services in establishments, national decision-making practice consistently considers that the Île-de-France region constitutes a unique geographic market and that it is not relevant to distinguish Paris proper from the neighboring departments. It indeed notes that Île-de-France is characterized by a very significant mobility of patients, particularly given the extensive offering of care establishments and the existence of regional, if not national, attraction centers. The information provided by the parties confirms this approach. The extent of the observed leakage rates indeed demonstrates that patients from Île-de-France frequently seek treatment outside their department of origin.</w:t>
      </w:r>
    </w:p>
    <w:p>
      <w:r>
        <w:t>17. In this case, the question of the geographic delimitation of medical biology analysis markets can be left open insofar as the conclusions of the analysis will remain unchanged regardless of the delimitation adopted.</w:t>
      </w:r>
    </w:p>
    <w:p>
      <w:r>
        <w:t>B. THE MARKET FOR SUPPLYING EQUIPMENT, REAGENTS, AND BIOLOGY CONSUMABLES</w:t>
      </w:r>
    </w:p>
    <w:p>
      <w:r>
        <w:t>1. PRODUCT MARKETS</w:t>
      </w:r>
    </w:p>
    <w:p>
      <w:r>
        <w:t>18. Decision-making practice has considered segmenting the market for the supply of laboratory instruments and consumables into nearly as many sectors of activity as there are products or consumables involved in the analyses (culture media and serums, products for gene activation,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w:t>
      </w:r>
    </w:p>
    <w:p>
      <w:r>
        <w:t>19. In any case, the question of the exact definition of the markets for the supply of medical equipment can be left open insofar as, regardless of the delimitation adopted, the conclusions of the competitive analysis will remain unchanged.</w:t>
      </w:r>
    </w:p>
    <w:p>
      <w:r>
        <w:t>2. GEOGRAPHIC MARKETS</w:t>
      </w:r>
    </w:p>
    <w:p>
      <w:r>
        <w:t>20. Decision-making practice considers that the geographic dimension of the markets for the supply of equipment, reagents, and biology consumables could be of European, or even global, dimension. While leaving the question open, it has also examined, in previous operations, the effects on the supplier and wholesaler network at the national level only.</w:t>
      </w:r>
    </w:p>
    <w:p>
      <w:r>
        <w:t>21. The notifying party considers that this market covers at least the European Economic Area (EEA) as it addresses the same type of clients in all European countries, primarily medical biology laboratories and hospital establishments, which present the same technical and commercial needs throughout the EEA and where transportation costs are not significant.</w:t>
      </w:r>
    </w:p>
    <w:p>
      <w:r>
        <w:t>22. In this case, the notifying party indicates that the parties to the transaction source almost exclusively directly from manufacturers of reagents and biology consumables such as Roche, Abbott, Siemens, BioMérieux, or Danaher (Beckman Coulter), through the French subsidiaries of these manufacturers. However, it has provided an estimate of the share of purchases of the new entity at the national level.</w:t>
      </w:r>
    </w:p>
    <w:p>
      <w:r>
        <w:t>23. In any case, the question of the exact delimitation of the markets for the supply of equipment, reagents, and biology consumables can be left open insofar as, regardless of the delimitation adopted, the conclusions of the competitive analysis will remain unchanged.</w:t>
      </w:r>
    </w:p>
    <w:p>
      <w:r>
        <w:t>III. Competitive Analysis</w:t>
      </w:r>
    </w:p>
    <w:p>
      <w:r>
        <w:t>A. HORIZONTAL EFFECTS</w:t>
      </w:r>
    </w:p>
    <w:p>
      <w:r>
        <w:t>1. MARKET FOR SUPPLYING EQUIPMENT, REAGENTS, AND BIOLOGY CONSUMABLES</w:t>
      </w:r>
    </w:p>
    <w:p>
      <w:r>
        <w:t>24. The notifying party indicates that the share of combined purchases of CEL and Novescia in this market amounted to […] euros in 2013. It also indicates sourcing directly from globally significant manufacturers or their subsidiaries in France, whose activities would have generated a turnover in France that it estimates at […] euros in 2010. The notifying party thus estimates that the new entity would represent barely more than [0-5]% of a potential French supply market, regardless of the category of products considered. A fortiori, the share of purchases of the new entity would be lower in a European market, regardless of the category of products considered, as the parties to the transaction are primarily active in France.</w:t>
      </w:r>
    </w:p>
    <w:p>
      <w:r>
        <w:t>25. Consequently, the operation is not likely to harm competition in the market for supplying equipment, reagents, and biology consumables.</w:t>
      </w:r>
    </w:p>
    <w:p>
      <w:r>
        <w:t>2. MARKET FOR ROUTINE MEDICAL BIOLOGY EXAMINATIONS</w:t>
      </w:r>
    </w:p>
    <w:p>
      <w:r>
        <w:t>26. In the French market for medical biology analyses, the notifying party estimates that CEL and Novescia would represent respectively [0-5]% and [0-5]% of the market at the national level in terms of the number of sites, behind Labco with [0-5]% market share and ahead of Biomnis ([0-5]%) and Unilabs ([0-5]%). Thus, the new entity would have an estimated market share of [5-10]% in a relatively fragmented market. The notifying party indicates that there were nearly […] MBL sites in France in 2013, with CEL and Novescia holding respectively […] and […].</w:t>
      </w:r>
    </w:p>
    <w:p>
      <w:r>
        <w:t>27. In a potential market for routine medical biology analyses, CEL and Novescia would each have a market share of [0-5]% at the national level, totaling [0-5]% for the new entity. It would still face competition from Labco ([0-5]%), Unilabs ([0-5%]), and Biomnis ([0-5%]).</w:t>
      </w:r>
    </w:p>
    <w:p>
      <w:r>
        <w:t>28. In Réunion, the new entity will have […] MBL sites ([…] for CEL and […] for Novescia) out of a total of […] sites. The new entity will thus hold an estimated market share in terms of the number of MBL sites of [30-40]%, with the operation resulting in an increment of market share of [10-20]%. However, the new entity will still face competition from significant local operators. Thus, the notifying party highlights the presence of the University Hospital Center of Réunion, which resembles the Félix Guyon Hospital Center in Saint-Denis and the Sud Réunion Hospital Group (in Saint-Pierre, Saint Joseph, Saint Louis, Le Tampon, and Cilaos). The notifying party indicates that these CHUs could perform about half of the medical biology analyses in Réunion. It also mentions the presence of Bionostic (named Réunilab with […] MBL sites) and Bio Austral, which groups […] MBLs.</w:t>
      </w:r>
    </w:p>
    <w:p>
      <w:r>
        <w:t>29. In mainland France, at the regional and departmental levels, the market share of the new entity following the operation will not exceed [10-20]%.</w:t>
      </w:r>
    </w:p>
    <w:p>
      <w:r>
        <w:t>30. Consequently, the operation is not likely to harm competition through potential horizontal effects in the markets for medical biology analyses.</w:t>
      </w:r>
    </w:p>
    <w:p>
      <w:r>
        <w:t>B. VERTICAL EFFECTS</w:t>
      </w:r>
    </w:p>
    <w:p>
      <w:r>
        <w:t>31. The operation results in a vertical strengthening of the parties insofar as the activity of specialized medical biology laboratories corresponds to rare biology acts that MBLs must subcontract to them. A vertical concentration can restrict competition by making access to the markets in which the new entity will be active more difficult, or even potentially excluding competitors or penalizing them by increasing their costs. The Authority thus considers that it is unlikely that a company with a market share of less than 30% in a given market could lock in a downstream or upstream market.</w:t>
      </w:r>
    </w:p>
    <w:p>
      <w:r>
        <w:t>32. In this case, CEL could restrict access to the market for specialized medical biology examinations for Novescia's competitors who subcontract this type of service. However, Novescia's demand for specialized medical biology examinations (i.e., […] euros in 2013) is very largely insufficient to incentivize CEL, which generates […] euros in turnover in this market, to reserve its services for it to the detriment of its competitors. Furthermore, the...</w:t>
      </w:r>
    </w:p>
    <w:p>
      <w:r>
        <w:rPr>
          <w:b/>
        </w:rPr>
        <w:t>[Pages 7–7]</w:t>
      </w:r>
    </w:p>
    <w:p>
      <w:r>
        <w:t>the request from Novescia is too modest for a shift of all its consumption towards CEL to have a significant effect on the market for specialized medical biology examinations.</w:t>
      </w:r>
    </w:p>
    <w:p>
      <w:r>
        <w:t>33. Consequently, the operation is not likely to harm competition in the relevant medical biology markets.</w:t>
      </w:r>
    </w:p>
    <w:p>
      <w:r>
        <w:t>DECIDES</w:t>
      </w:r>
    </w:p>
    <w:p>
      <w:r>
        <w:t>Sole Article: The operation notified under number 15-001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