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https://www.autoritedelaconcurrence.fr/fr/decision-de-controle-des-concentrations/relative-lacquisition-de-la-societe-ormoison-sas-par-les</w:t>
      </w:r>
    </w:p>
    <w:p>
      <w:r>
        <w:t>Pages translated : 3</w:t>
      </w:r>
    </w:p>
    <w:p/>
    <w:p>
      <w:r>
        <w:rPr>
          <w:b/>
        </w:rPr>
        <w:t>[Pages 1–3]</w:t>
      </w:r>
    </w:p>
    <w:p>
      <w:r>
        <w:t xml:space="preserve">FRENCH REPUBLIC  </w:t>
        <w:br/>
        <w:t xml:space="preserve">Letter No. 09-DCC-73 of December 9, 2009  </w:t>
        <w:br/>
        <w:t xml:space="preserve">regarding the exclusive control of the company Ormoison SAS by  </w:t>
        <w:br/>
        <w:t xml:space="preserve">the company ITM Alimentaire Est (Group ITM Entreprises)  </w:t>
        <w:br/>
        <w:t xml:space="preserve">Masters,  </w:t>
        <w:br/>
        <w:t xml:space="preserve">You notified on November 5, 2009, to the mergers service of the Competition Authority a  </w:t>
        <w:br/>
        <w:t xml:space="preserve">project for the acquisition of the company Ormoison SAS by the companies Mayoline SAS, ITM Alimentaire Est,  </w:t>
        <w:br/>
        <w:t xml:space="preserve">and ITM Enterprises.  </w:t>
        <w:br/>
        <w:t xml:space="preserve">The company Mayoline S.A.S. (hereinafter "Mayoline") is a company governed by French law whose purpose  </w:t>
        <w:br/>
        <w:t xml:space="preserve">is to hold a [majority] stake in the share capital and/or veto rights of any operating company of a commercial  </w:t>
        <w:br/>
        <w:t xml:space="preserve">business of a distribution type predominantly focused on food, under one of the brands of the Groupement des Mousquetaires. The company Mayoline is [majority] owned by Mr. Pierre Somnard and his wife. The remainder of the capital of Mayoline is held by the company ITM Entreprises, through a share that does not confer any special rights. The company Mayoline, established in 2009, has not generated any revenue to date. Furthermore, Mr. and Mrs. Somnard do not control any company at the time of the transaction.  </w:t>
        <w:br/>
        <w:t xml:space="preserve">The company ITM Alimentaire Est is a company governed by French law, [&gt;50]% owned by Société ITM Alimentaire France, which is itself owned by the company ITM Entreprises, and [&lt;50]% by the company ITM Entreprises. The company ITM Entreprises, 100% controlled by the Société civile des Mousquetaires, which is itself owned by 1,330 individuals known as "associated members," leads and animates the network of independent merchants known as the "Groupement des Mousquetaires." In its capacity as franchisor, the company ITM Entreprises has as its main activity the management of a network of sales outlets, both food and non-food, operated by independent merchants under the following brands: Intermarché, Ecomarché, Netto, Restaumarché, Bricomarché, Roady, and Vêti.  </w:t>
        <w:br/>
        <w:t xml:space="preserve">The company Ormoison S.A.S. (hereinafter "Ormoison") is a company governed by French law whose main purpose is  </w:t>
        <w:br/>
        <w:t xml:space="preserve">the operation of a predominantly food store located in Fains Veel (55000) under the Intermarché brand. The shares of the company Ormoison are [majority] owned by Mr. Yvon Bagard, his wife, and members of their family. Mr. and Mrs. Bagard are signatories of the membership charter of the Groupement des Mousquetaires. The remainder of the capital of the company Ormoison is [minority] held by the company ITM Alimentaire Est and by the company ITM Entreprises through a preferred share. Furthermore, the company Ormoison signed a brand contract on January 11, 2002, with ITM Entreprises, by which the use of the Intermarché brand is granted to it for the operation of its business. The articles of association of the company Ormoison, adopted on June 18, 2009, grant ITM Entreprises, for a period of [&gt;15] years, the ability to block any change of brand, oppose any transfer of shares, and compel the majority shareholders to sell the business as soon as they operate a similar business under a competing brand. Furthermore, the brand contract grants ITM Entreprises, also for a period of [&gt;15] years, a right of first refusal in the event of the sale of the business at a price calculated according to a predetermined formula. Finally, after [&gt;15] years, if ITM Entreprises no longer has the ability to block any change of brand or oppose any transfer of shares, ITM Entreprises retains a right of first refusal on any sale of shares for an additional 5 years. It follows from the above that, prior to the transaction, ITM Entreprises already held joint control over the company Ormoison, contrary to what is claimed in the notification file.  </w:t>
        <w:br/>
        <w:t xml:space="preserve">The notified transaction takes place in two stages. In the first stage, the company ITM Alimentaire Est entered into a memorandum of understanding with Mr. and Mrs. Bagard dated June 30, 2009, concerning the acquisition, for holding purposes, of all the shares of the company Ormoison which they own as of January 1, 2010. ITM Entreprises will thus hold, via ITM Alimentaire Est, exclusive control of the company Ormoison. However, in the second stage, the company ITM Alimentaire Est committed, by deed of the same day, to transfer back on January 1, 2010, to Mr. and Mrs. Somnard, via their company Mayoline, the majority of the shares of the company Ormoison acquired from Mr. and Mrs. Bagard. At the end of this second stage, the shares of the company Ormoison will be [majority] held by Mr. Pierre Somnard and his wife via the company Mayoline. The remainder of the capital of the company Ormoison will be held by the company ITM Alimentaire Est, ITM Entreprises retaining its preferred share held in full ownership and the associated rights. After the transaction, Ormoison will therefore be jointly controlled by Mr. and Mrs. Somnard, via Mayoline, and ITM Entreprises, contrary to what is claimed in the notification file.  </w:t>
        <w:br/>
        <w:t xml:space="preserve">The European Commission indicates in its consolidated communication that it retains two conditions to assess whether a transitional operation constitutes a lasting change of control. On the one hand, the transitional nature of the operation must be agreed upon among the various acquirers in a legally binding manner, and, on the other hand, there must be no doubt regarding the promptness of the second stage. The European Commission also indicates that "in the context of series operations, a company agrees to first take exclusive control of a target company, and then directly transfer certain parts of the acquired stake in the target company to another company, with both acquirers ultimately jointly controlling the target company. If the two acquisitions are subject to a conditional link, the two operations constitute a single concentration and only the acquisition of joint control, which is the final result of the operations, will be examined by the Commission."  </w:t>
        <w:br/>
        <w:t xml:space="preserve">In this case, the Competition Authority considers that the two stages of the operation constitute a single concentration, the transfer of shares held by ITM Alimentaire Est to Mr. and Mrs. Somnard allowing them to take joint control of Ormoison occurring immediately after the exclusive control by ITM Entreprises, in accordance with a legally binding deed. Article L. 430-1 of the Commercial Code specifies in I-2 that a concentration operation is realized "when one or more persons, already holding control of at least one company or when one or more companies acquire, directly or indirectly, whether by taking a stake in the capital or purchasing assets, contracts, or any other means, control of all or part of one or more other companies." Given the preceding elements, the notified operation is analyzed as a joint control acquisition by Mr. and Mrs. Somnard, individuals, over Ormoison, with ITM Entreprises retaining the joint control it already held before the operation. However, Mr. and Mrs. Somnard do not control any other company at the time of the operation. Consequently, the operation does not fall within the scope of Article L. 430-1 of the Commercial Code.  </w:t>
        <w:br/>
        <w:t xml:space="preserve">I therefore inform you that the notified operation is not subject to the concentration control provided for in Articles L. 430-3 and following of the Commercial Code.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