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https://www.autoritedelaconcurrence.fr/fr/decision-de-controle-des-concentrations/relative-lacquisition-de-la-societe-pomalliance-par-cap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13-DCC-38 of March 26, 2013  </w:t>
        <w:br/>
        <w:t xml:space="preserve">regarding the acquisition of the company Pom'Alliance by Cap Seine  </w:t>
        <w:br/>
        <w:t xml:space="preserve">The Competition Authority,  </w:t>
        <w:br/>
        <w:t xml:space="preserve">Having regard to the complete notification file submitted to the mergers department on February 25, 2013,  </w:t>
        <w:br/>
        <w:t xml:space="preserve">concerning the acquisition of the company Pom’Alliance by the Cap Seine group, formalized by an  </w:t>
        <w:br/>
        <w:t xml:space="preserve">acquisition offer dated February 13,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Pom’Alliance,  </w:t>
        <w:br/>
        <w:t xml:space="preserve">active in the trade of fresh potatoes, by the Cap Seine group, a cooperative group active in the agricultural supply sectors, cereals, oilseeds and protein crops, and animal feed as well as in retail (Gamm vert stores). It therefore constitutes a concentration operation within the meaning of Article L. 430-1 of the Commercial Code. Given the turnover achieved by the companies concerned, the operation does not have a community dimension. On the other hand,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13-026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