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https://www.autoritedelaconcurrence.fr/fr/decision-de-controle-des-concentrations/relative-lacquisition-de-la-societe-qfd-groupe-ltm-par-la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12-DCC-14 of February 1, 2012  </w:t>
        <w:br/>
        <w:t xml:space="preserve">regarding the acquisition of the company QFD (LTM group)  </w:t>
        <w:br/>
        <w:t xml:space="preserve">by the company IFP  </w:t>
        <w:br/>
        <w:t xml:space="preserve">The Competition Authority,  </w:t>
        <w:br/>
        <w:t xml:space="preserve">Having regard to the complete notification file sent to the mergers department on January 10, 2012,  </w:t>
        <w:br/>
        <w:t xml:space="preserve">concerning the acquisition of the company QFD (LTM group) by the company IFP;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QFD, the head company  </w:t>
        <w:br/>
        <w:t xml:space="preserve">of the LTM group, distributing building hardware products and complementary products to professionals, mainly craftsmen and carpentry companies, by the company IFP, a portfolio management company. It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12-002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