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https://www.autoritedelaconcurrence.fr/fr/decision-de-controle-des-concentrations/relative-lacquisition-de-la-societe-recylux-group-sa-et-de</w:t>
      </w:r>
    </w:p>
    <w:p>
      <w:r>
        <w:t>Pages translated : 5</w:t>
      </w:r>
    </w:p>
    <w:p/>
    <w:p>
      <w:r>
        <w:rPr>
          <w:b/>
        </w:rPr>
        <w:t>[Pages 1–3]</w:t>
      </w:r>
    </w:p>
    <w:p>
      <w:r>
        <w:t xml:space="preserve">FRENCH REPUBLIC  </w:t>
        <w:br/>
        <w:t xml:space="preserve">Decision No. 12-DCC-17 of February 6, 2012  </w:t>
        <w:br/>
        <w:t xml:space="preserve">regarding the acquisition of Recylux Group SA and certain  </w:t>
        <w:br/>
        <w:t>real estate assets by Ecore BV</w:t>
      </w:r>
    </w:p>
    <w:p>
      <w:r>
        <w:t xml:space="preserve">The Competition Authority,  </w:t>
        <w:br/>
        <w:t xml:space="preserve">Having regard to the notification file sent to the merger service on January 19, 2012, and declared complete on January 30, 2012, concerning the acquisition of the Recylux group by Ecore BV, formalized by a share transfer agreement signed on January 10, 2012;  </w:t>
        <w:br/>
        <w:t xml:space="preserve">Having regard to Book IV of the Commercial Code relating to price freedom and competition, and in particular Articles L. 430-1 to L. 430-7;  </w:t>
        <w:br/>
        <w:t xml:space="preserve">Having regard to the supplementary elements provided by the parties during the investigation;  </w:t>
        <w:br/>
        <w:t>Adopts the following decision:</w:t>
      </w:r>
    </w:p>
    <w:p>
      <w:r>
        <w:t xml:space="preserve">I. The companies concerned and the operation  </w:t>
        <w:br/>
        <w:t xml:space="preserve">1. Ecore BV is a Dutch company active in the field of waste collection and treatment in France, Hungary, Romania, China, and India. Its activities are primarily focused on ferrous and non-ferrous metals. Ecore BV also engages, to a marginal extent, in the recycling of other types of waste. It operates in France through its subsidiary Guy Dauphin environnement ("GDE") in the sector of recycling ferrous and non-ferrous metals and, more marginally, of paper, cardboard, and plastics. It has 62 collection sites in France, mainly located in the Rhône-Alpes, Provence-Alpes-Côte-D'azur, Brittany, Pays-de-la-Loire, Poitou-Charentes, Aquitaine, Île-de-France, Lower Normandy, Nord-Pas-de-Calais, Alsace, and Lorraine regions.  </w:t>
        <w:br/>
        <w:t xml:space="preserve">2. Recylux Group SA ("Recylux") is a Luxembourg company wholly owned by Recyfina, a public limited company under Luxembourg law, 95% owned by Mr. Franck Sertic and 5% by Mr. François Sertic. Recylux, a company active in the recycling sector of ferrous and non-ferrous metals, operates nine collection and treatment sites for metal waste located in Alsace and Lorraine.  </w:t>
        <w:br/>
        <w:t xml:space="preserve">3. Pursuant to the share transfer agreement signed on January 10, 2012, the operation involves the acquisition of the entire capital and voting rights of Recylux Group SA and certain real estate assets by Ecore BV.  </w:t>
        <w:br/>
        <w:t>4. As it results in the exclusive control of the Recylux group by Ecore BV, the notified transaction constitutes a concentration within the meaning of Article L. 430-1 of the Commercial Code. The companies concerned have together achieved a consolidated worldwide turnover excluding taxes of more than 150 million euros in the last closed financial year (Ecore BV: 1.424 billion euros for the financial year ending September 30, 2011; Recylux: 341.5 million euros for the financial year ending December 31, 2011). Each of these companies has achieved, in France, a turnover exceeding 50 million euros (Ecore BV: 508.3 million euros for the financial year ending September 30, 2011; Recylux Group: 50.9 million euros for the financial year ending December 31, 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Ecore BV and Recylux are simultaneously active in the waste management sector, particularly in the recycling sector (collection, treatment, and recovery) of ferrous and non-ferrous metals.</w:t>
      </w:r>
    </w:p>
    <w:p>
      <w:r>
        <w:t xml:space="preserve">A. THE WASTE MANAGEMENT MARKETS  </w:t>
        <w:br/>
        <w:t xml:space="preserve">6. According to decision-making practice, the cleanliness sector comprises as many service markets as there are major types of waste. Thus, ordinary waste, namely household and industrial and commercial waste that does not have toxic or hazardous characteristics, is distinguished from special industrial waste, namely waste of industrial origin whose mineral or organic toxicity requires the use of specific treatment equipment. Furthermore, special industrial waste is subject to specific control and regulatory procedures that distinguish it from ordinary waste.  </w:t>
        <w:br/>
        <w:t xml:space="preserve">7. Waste management encompasses the activities of collection, transport, treatment, reuse, and disposal, with the aim of reducing their effects on human health and the environment. Decision-making practice consistently considers that "the sector of ordinary waste management includes two stages, collection and treatment." The European Commission has also indicated that "the sorting of such waste, particularly for recycling and recovery, takes place either at the collection level (selective collection) or at the treatment level." An additional segmentation has been adopted according to the nature of the waste, distinguishing between hazardous waste, non-hazardous waste, and specific waste. Finally, decision-making practice has also examined a specific market comprising the collection and treatment of scrap metal, potentially segmented between carbon steel scrap and stainless steel scrap. In this case, the parties to the operation are simultaneously present in the market for the collection and treatment of scrap metal.  </w:t>
        <w:br/>
        <w:t xml:space="preserve">8. Regarding the markets for waste recovery, decision-making practice considers segmenting them similarly to those for collection. There would therefore be as many markets for waste recovery as there are types of materials to be recovered (scrap, glass, paper and cardboard, wood, etc.). The minister has thus examined a market for the recovery of metallic waste comprising ferrous metals, non-ferrous metals, and metal from the deconstruction of end-of-life vehicles. The materials to be recycled mainly come from new scrap resulting from steel processing and recovered scrap. A segmentation of the market for the recovery of metallic waste by types of scrap has not been deemed relevant, given the high substitutability of the supply. In this case, the parties to the operation are simultaneously present in the market for the recovery of metallic waste.  </w:t>
        <w:br/>
        <w:t>9. Consequently, the effects of the operation will be examined in the market for scrap collection and in the market for the recovery of metallic waste. However, the question of the exact delimitation of these markets can be left open, as the conclusions of the competitive analysis are not affected regardless of the delimitations chosen.</w:t>
      </w:r>
    </w:p>
    <w:p>
      <w:r>
        <w:t xml:space="preserve">B. THE GEOGRAPHICAL DIMENSION OF THE WASTE MANAGEMENT MARKETS  </w:t>
        <w:br/>
        <w:t>10. Regarding the geographical dimension of the scrap collection market, the question of its delimitation at the national or local level has been left open by decision-making practice. Thus, the national dimension of the markets appears justified if one takes into account the use of tendering procedures by local authorities and industries at the national level, but the collection sites cover more limited geographical radii, on the order of 100 to 150 km around the sites according to the notifying party. In this regard, the European Commission has indicated that it could consider areas with a radius of approximately 200 kilometers. In this case, the activities of the parties overlap in the departments of Alsace and</w:t>
      </w:r>
    </w:p>
    <w:p>
      <w:r>
        <w:rPr>
          <w:b/>
        </w:rPr>
        <w:t>[Pages 4–5]</w:t>
      </w:r>
    </w:p>
    <w:p>
      <w:r>
        <w:t>Lorraine. Finally, the market for the recovery of metallic waste has been examined at the national level.</w:t>
      </w:r>
    </w:p>
    <w:p>
      <w:r>
        <w:t>11. Consequently, the effects of the operation will be examined both on the national markets for the collection and recovery of metallic waste and on the local markets corresponding to the collection areas defined by a radius of 150 to 200 kilometers around each of the Recylux sites located in Alsace and Lorraine. However, the question of the exact delimitation can be left open because the conclusions of the analysis will remain unchanged regardless of the delimitations chosen.</w:t>
      </w:r>
    </w:p>
    <w:p>
      <w:r>
        <w:t>III. Competitive Analysis</w:t>
      </w:r>
    </w:p>
    <w:p>
      <w:r>
        <w:t>A. ANALYSIS OF HORIZONTAL EFFECTS ON THE SCRAP COLLECTION MARKET</w:t>
      </w:r>
    </w:p>
    <w:p>
      <w:r>
        <w:t>12. The notifying party estimates the national market for scrap collection and other metals at 17 million tons in 2010. In this market, Ecore BV's share is approximately [10-20]%, while Recylux's share is [0-5]%. Following the operation, the new entity will therefore have a market share of approximately [10-20]% at the national level. It will face competition from operators such as Derichebourg ([30-40]% market share), Sita (a subsidiary of the GDF Suez group with an estimated market share of [10-20]%), Bartin (a subsidiary of Veolia, with [5-10]% market share), Epur ([0-5]%), and Sepchat Legall ([0-5]%).</w:t>
      </w:r>
    </w:p>
    <w:p>
      <w:r>
        <w:t>13. Furthermore, in a market for the collection of scrap and other metals potentially segmented by distinguishing between stainless steel scrap and carbon steel scrap, the operation will result in only a limited addition of market shares, respectively [0-5]% and [0-5]% in each of these segments. Thus, the new entity will represent [5-10]% of the collections of stainless steel scrap and [10-20]% of the collections of carbon steel scrap at the national level following the operation.</w:t>
      </w:r>
    </w:p>
    <w:p>
      <w:r>
        <w:t>14. In the local collection areas located within a radius of 150 to 200 kilometers around the Recylux sites, the notifying party estimated that the market shares of the new entity would range between [5-10]% and [10-20]% depending on the areas. Each of the locally defined areas is characterized by a large number of collection sites, among which are sites operated by national groups and many sites operated by independent operators. The new entity will thus continue to face competition in each of the local areas from the main national operators in the sector such as Derichebourg and Veolia, as well as Galloo, Comet, or Sita in certain areas. The notifying party estimated that these operators would hold cumulative market shares ranging between [10-20]% and [20-30]% depending on the areas. The majority of collection sites will remain operated by numerous independent companies located in each of the concerned areas.</w:t>
      </w:r>
    </w:p>
    <w:p>
      <w:r>
        <w:t>15. In light of the above, the operation is not likely to harm competition through horizontal effects in the scrap collection and ferrous metals market.</w:t>
      </w:r>
    </w:p>
    <w:p>
      <w:r>
        <w:t>B. ANALYSIS OF HORIZONTAL EFFECTS ON THE MARKET FOR THE RECOVERY OF METALLIC WASTE</w:t>
      </w:r>
    </w:p>
    <w:p>
      <w:r>
        <w:t>16. In the national market for the recovery of metallic waste, estimated at 8.1 billion euros in 2010, the notifying party holds a market share of approximately [5-10]% and Recylux holds [0-5]%. Following the operation, the new entity will therefore have a market share of approximately [5-10]% at the national level. The new entity will face competition from Derichebourg (whose market share is estimated at [10-20]%), as well as Bartin (Veolia), Epur (respectively [0-5]% market share), Sita ([0-5]%), and Sepchat Legall ([0-5]%).</w:t>
      </w:r>
    </w:p>
    <w:p>
      <w:r>
        <w:t>17. In light of the above, the operation is not likely to harm competition through horizontal effects in the market for the recovery of metallic waste.</w:t>
      </w:r>
    </w:p>
    <w:p>
      <w:r>
        <w:t>DECIDES</w:t>
      </w:r>
    </w:p>
    <w:p>
      <w:r>
        <w:t>Sole Article: The notified operation under number 12-006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