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https://www.autoritedelaconcurrence.fr/fr/decision-de-controle-des-concentrations/relative-lacquisition-de-la-societe-sandrola-par-la-societe</w:t>
      </w:r>
    </w:p>
    <w:p>
      <w:r>
        <w:t>Pages translated : 2</w:t>
      </w:r>
    </w:p>
    <w:p/>
    <w:p>
      <w:r>
        <w:rPr>
          <w:b/>
        </w:rPr>
        <w:t>[Pages 1–2]</w:t>
      </w:r>
    </w:p>
    <w:p>
      <w:r>
        <w:t xml:space="preserve">FRENCH REPUBLIC  </w:t>
        <w:br/>
        <w:t xml:space="preserve">Decision No. 11-DCC-55 of April 7, 2011  </w:t>
        <w:br/>
        <w:t xml:space="preserve">regarding the acquisition of the company Sandrola by the company ITM Alimentaire Sud Est  </w:t>
        <w:br/>
        <w:t xml:space="preserve">The Competition Authority,  </w:t>
        <w:br/>
        <w:t xml:space="preserve">Having regard to the complete notification file submitted to the mergers department on March 22, 2011, concerning the acquisition by the company ITM Alimentaire Sud Est of the majority of the capital of the company Sandrola, formalized by a share transfer agreement, subject to conditions precedent, dated February 16, 2011;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control by the company ITM Alimentaire Sud Est of the company Sandrola, which operates through its subsidiary Mial, a retail outlet under the Intermarché brand in the city of Castelnaudary (11), and constitutes a concentration operation within the meaning of Article L. 430-1 of the Commercial Code. Given the turnover achieved by the companies concerned, the operation does not have a community dimension.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11-0053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