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https://www.autoritedelaconcurrence.fr/fr/decision-de-controle-des-concentrations/relative-lacquisition-de-la-societe-sas-carte-bleue-par-la</w:t>
      </w:r>
    </w:p>
    <w:p>
      <w:r>
        <w:t>Pages translated : 6</w:t>
      </w:r>
    </w:p>
    <w:p/>
    <w:p>
      <w:r>
        <w:rPr>
          <w:b/>
        </w:rPr>
        <w:t>[Pages 1–3]</w:t>
      </w:r>
    </w:p>
    <w:p>
      <w:r>
        <w:t xml:space="preserve">FRENCH REPUBLIC  </w:t>
        <w:br/>
        <w:t xml:space="preserve">Decision No. 09-DCC-79 of December 16, 2009  </w:t>
        <w:br/>
        <w:t xml:space="preserve">regarding the acquisition of the company SAS Carte Bleue by the company  </w:t>
        <w:br/>
        <w:t>Visa Europe Limited</w:t>
      </w:r>
    </w:p>
    <w:p>
      <w:r>
        <w:t xml:space="preserve">The Competition Authority,  </w:t>
        <w:br/>
        <w:t xml:space="preserve">Having regard to the notification file sent to the merger service on October 26, 2009, and declared complete on November 12, 2009, regarding the acquisition by Visa Europe Limited of SAS Carte Bleue, formalized by the memorandum of understanding signed on October 29 and 30, 2008 (corrected clerical error) and a share transfer agreement dated October 15,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Visa Europe is a private limited company under English law, registered in England and Wales. Its capital is held by approximately 4,600 banks and financial institutions operating in 36 countries. Visa Europe has entered into an exclusive, perpetual, and irrevocable license agreement with Visa Inc. (which encompasses all entities covering Visa's global operations, except for Visa Europe) regarding the operation of the Visa system in Europe. Visa Europe offers its members national and international payment services under the Visa brand. As of September 30, 2009, the last closed financial year, Visa Europe achieved a total worldwide turnover excluding taxes of 672 million euros, of which [&gt;50] million euros were in France.  </w:t>
        <w:br/>
        <w:t xml:space="preserve">2. Carte Bleue (hereinafter "CBL") is a simplified joint-stock company registered in France, whose share capital is held by the Economic Interest Grouping Carte Bleue (hereinafter "GIE CBL") and 34 French banks, which are themselves members of GIE CBL. CBL's purpose is the design, development, and promotion of payment instruments as well as specific tools and services attached to these payment instruments. It also provides credit institutions and financial institutions with tools and services related to the marketing of payment instruments to their clients. CBL achieved in 2008 a total worldwide turnover excluding taxes, annualized, of 79.5 million euros, exclusively in France.  </w:t>
        <w:br/>
        <w:t xml:space="preserve">3. Under the terms of the memorandum of understanding, Visa Europe commits to acquire, no later than December 31, 2009, the share capital of CBL as well as the brand name and domain names that it holds from GIE CBL and the 34 French banks.  </w:t>
        <w:br/>
        <w:t>4. As it results in the acquisition of CBL by Visa Europe, the notified operation constitutes a concentration within the meaning of Article L. 430-1 of the Commercial Code. Considering the turnovers of the concerned companies, it does not have a community dimension. However, the thresholds mentioned in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A. DEFINITION OF MARKETS IN TERMS OF PRODUCTS AND SERVICES  </w:t>
        <w:br/>
        <w:t xml:space="preserve">5. Among the bank cards used in France, there are cards issued by banks that are members of the Carte Bancaire Group, proprietary or brand cards (issued by distributors, generally in collaboration with specialized consumer credit institutions), as well as so-called accredited cards, the most well-known being American Express and Diners Club. The cards issued by banks are either national bank cards - which cannot be used outside of France - or international Visa or MasterCard bank cards. They are accepted at a very large number of acceptance points (payment terminals and ATMs), which distinguishes them from proprietary and accredited cards, whose acceptance is more limited.  </w:t>
        <w:br/>
        <w:t xml:space="preserve">6. The European Commission's decision-making practice distinguishes three markets related to payment cards: the market for card issuance, the market for merchant acquisition, and the market for card payment systems. The question of a possible distinction between the different types of payment cards has so far been left open.  </w:t>
        <w:br/>
        <w:t xml:space="preserve">7. In this case, Visa Europe grants a license to member banks for the use of its system, so that they can issue payment cards and acquire merchants. It is therefore not present in the card issuance market, where banks compete to issue cards to individuals, nor in the merchant acquisition market, where banks contract with merchants. Visa Europe operates in the "inter-system" market or the market for services provided by a card payment network to financial institutions. As the Commission has already noted, these services "include the routing of authorizations, currency conversion, clearing operations, risk management, and settlement authorization, as well as the creation and management of the network brand and associated brands, product development, and the establishment of rules covering various aspects of network operation, including provisions governing network membership."  </w:t>
        <w:br/>
        <w:t>8. Furthermore, the Commission has identified a market for card payment processing that includes technical services such as transaction routing, authorization requests including the verification of exclusion lists, card identifications, and the issuance of statements and invoices. In France, only CBL is active in this card payment processing market.</w:t>
      </w:r>
    </w:p>
    <w:p>
      <w:r>
        <w:t xml:space="preserve">B. GEOGRAPHICAL DEFINITION OF MARKETS  </w:t>
        <w:br/>
        <w:t xml:space="preserve">1. Geographical definition of the systems/networks market  </w:t>
        <w:br/>
        <w:t xml:space="preserve">9. The Commission has emphasized in the aforementioned decisions that bank cards issued in France are primarily used within the national territory and the use in France of cards issued abroad is marginal. The notification file for this operation confirms this situation. The geographical market to be considered for assessing the competitive aspects of payment card systems is therefore national.  </w:t>
        <w:br/>
        <w:t xml:space="preserve">2. Geographical definition of the card payment processing market  </w:t>
        <w:br/>
        <w:t xml:space="preserve">10. The European Commission has noted in previous decisions that the processing of international payment cards is becoming increasingly pan-European, while the processing of national payment cards remains national due to various barriers to market entry.  </w:t>
        <w:br/>
        <w:t>11. However, the question of the exact delimitation of this market may remain open insofar as the conclusions of the competitive analysis will remain unchanged, regardless of the geographical dimension retained for this market.</w:t>
      </w:r>
    </w:p>
    <w:p>
      <w:r>
        <w:rPr>
          <w:b/>
        </w:rPr>
        <w:t>[Pages 4–6]</w:t>
      </w:r>
    </w:p>
    <w:p>
      <w:r>
        <w:t>III. Competitive Analysis</w:t>
      </w:r>
    </w:p>
    <w:p>
      <w:r>
        <w:t>12. Before the operation, the Carte Bleue and Visa systems cooperated to jointly offer cards ensuring both national and international payments. The competition between the two systems was therefore almost non-existent since there is no Visa card in France that is not also Carte Bleue, and the national Carte Bleue cards only represented [0-5]% (in volume) of the total number of payment cards in circulation in France in 2006.</w:t>
      </w:r>
    </w:p>
    <w:p>
      <w:r>
        <w:t>13. Regarding the cards bearing both the Carte Bleue and Visa brands, the notifying party argues that their market share in volume (i.e., in relation to the total number of payment cards in circulation in France) was estimated at [30-40]% in 2006. However, as indicated by the Commission in the aforementioned case COMP No. 38606, the total number of cards is not an adequate indicator of the importance of the different types of cards since, in particular, many proprietary cards are never or rarely used. On the other hand, the value of transactions can be a reference. Thus, concerning only the cards issued by banks, the total amount of transactions made in 2008 with a CB bank card amounted to 412.9 billion euros in 2008, according to the Groupement Carte bancaire, of which […] billion euros for Carte Bleue cards (source CBL), representing [60-70]%. In terms of the number of transactions, the Groupement Carte bancaire reported 7.76 billion payments and withdrawals made in 2008 with a CB bank card and the CBL, […] billion operations, representing [60-70]% of the transactions.</w:t>
      </w:r>
    </w:p>
    <w:p>
      <w:r>
        <w:t>14. Furthermore, CBL's payment processing activity is ancillary to its other service offerings (routing of international Visa transactions for authorization, clearing, and settlement purposes, as well as other ancillary services) and CBL only provides its services to the members of the GIE CBL. Overall, the notifying party estimates that the transactions processed by CBL represent less than [0-5]% of all transactions on payment cards in France. Visa Europe does not operate in the French card payment processing market. In France, it is the Groupement des Cartes Bancaires (hereinafter "GCB") that is responsible for processing national authorizations through the e-RSB authorization network. The group Systèmes Technologiques d’Échanges et de Traitement (STET) is responsible for national clearing and settlement.</w:t>
      </w:r>
    </w:p>
    <w:p>
      <w:r>
        <w:t>15. The operation is therefore not likely to harm competition in any of these markets, whether through horizontal or vertical effects.</w:t>
      </w:r>
    </w:p>
    <w:p>
      <w:r>
        <w:t>IV. Directly Related and Ancillary Restrictions</w:t>
      </w:r>
    </w:p>
    <w:p>
      <w:r>
        <w:t>16. The notifying party details in the notification several agreements that it considers to be "directly related and necessary to the realization of the concentration," within the meaning of the European Commission communication 2005/C 56/03 of March 5, 2005.</w:t>
      </w:r>
    </w:p>
    <w:p>
      <w:r>
        <w:t>17. Firstly, each of the selling banks commits to the acquirer, for a duration of [&lt; 3 years] from the completion of the operation, that no member of its group:</w:t>
        <w:br/>
        <w:t xml:space="preserve">   </w:t>
        <w:br/>
        <w:t>a. "will not directly or indirectly create another entity engaging in activities identical or similar to the activities actually carried out" by CBL,</w:t>
        <w:br/>
        <w:t>b. "will not induce (or seek to induce) any employee subject to restriction to become its employee or induce (or seek to induce) any consultant subject to restriction to contract with it, whether as an employee, consultant, or in any other capacity."</w:t>
      </w:r>
    </w:p>
    <w:p>
      <w:r>
        <w:t>18. The aforementioned Commission communication explains that such a non-competition clause can be considered directly related and necessary when the transfer includes customer loyalty in the form of both the business goodwill and know-how. In this case, CBL's activity involves a necessary loyalty of the banks that market credit instruments and cannot be considered limited to the mere sale of a business goodwill. Furthermore, the scope of this non-competition obligation is limited to the geographical area in which CBL operates, namely France, as also provided in this communication.</w:t>
      </w:r>
    </w:p>
    <w:p>
      <w:r>
        <w:t>19. Secondly, the selling banks and their subsidiaries must purchase services called "Key Services" comprising a set of services related to: […]</w:t>
      </w:r>
    </w:p>
    <w:p>
      <w:r>
        <w:t>20. Each seller commits to subscribe to these services at a level consistent, for each key service, with the reference usage specific to that seller as of December 31, 2008, for a period of [&lt; 5 years] from the date of completion of the operation. The acquirer commits in return to provide the key services for [&lt; 5 years].</w:t>
      </w:r>
    </w:p>
    <w:p>
      <w:r>
        <w:t>21. To the extent that the main activity of CBL consists of providing services to the selling banks and that the obligations listed above pertain to fixed and not relative quantities, they constitute restrictions directly related to the operation and necessary for its realization.</w:t>
      </w:r>
    </w:p>
    <w:p>
      <w:r>
        <w:t>22. Thirdly, each selling bank commits to maintain for […] years a cumulative spending volume target (CEV calculated based on the volumes achieved in 2008) made with the Carte Bleue Visa cards issued by that bank.</w:t>
      </w:r>
    </w:p>
    <w:p>
      <w:r>
        <w:t>23. In the event of a breach of this obligation, the selling bank will have to return part of the purchase price of CBL. However, no purchase price reimbursement will be owed by a selling bank if […]</w:t>
      </w:r>
    </w:p>
    <w:p>
      <w:r>
        <w:t>24. Furthermore, the acquisition of CBL is subject to the signing of bilateral agreements between Visa Europe and each of the leading banks of the GIE CBL. The notifying party considers that these agreements aim to maintain CBL's activity: the eight leading banks commit to maintaining a cumulative spending volume target made with the Carte Bleue Visa cards. For the […] years, the target to be met is established on an annual basis, for the […] years, on a quarterly basis. In return, Visa Europe allocates them a maximum amount of [..], distributed pro rata to the objectives of each and paid annually for the […] years and then quarterly for the […] years.</w:t>
      </w:r>
    </w:p>
    <w:p>
      <w:r>
        <w:t>25. However, these volume maintenance obligations pertain to the spending made by consumers with the Visa Carte Bleue cards issued by each bank and are therefore only indirectly related to CBL's service activities. They are also likely to introduce a rigidity factor in the market share of Visa Carte Bleue cards. They cannot therefore be considered directly related and necessary to the realization of the present operation.</w:t>
      </w:r>
    </w:p>
    <w:p>
      <w:r>
        <w:t>DECIDES</w:t>
      </w:r>
    </w:p>
    <w:p>
      <w:r>
        <w:t>Single Article: The operation notified under number 09-0108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