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https://www.autoritedelaconcurrence.fr/fr/decision-de-controle-des-concentrations/relative-lacquisition-de-la-societe-sas-melaurypar-la</w:t>
      </w:r>
    </w:p>
    <w:p>
      <w:r>
        <w:t>Pages translated : 2</w:t>
      </w:r>
    </w:p>
    <w:p/>
    <w:p>
      <w:r>
        <w:rPr>
          <w:b/>
        </w:rPr>
        <w:t>[Pages 1–2]</w:t>
      </w:r>
    </w:p>
    <w:p>
      <w:r>
        <w:t xml:space="preserve">FRENCH REPUBLIC  </w:t>
        <w:br/>
        <w:t xml:space="preserve">Letter No. 10-DCC-16 of February 24, 2010, to the legal advisors of the company  </w:t>
        <w:br/>
        <w:t xml:space="preserve">SARL Madorinvest regarding the acquisition of control  </w:t>
        <w:br/>
        <w:t>of the company SAS Mélaury</w:t>
      </w:r>
    </w:p>
    <w:p>
      <w:r>
        <w:t>Counsel,</w:t>
      </w:r>
    </w:p>
    <w:p>
      <w:r>
        <w:t>On January 26, 2010, you notified the mergers department of the Competition Authority of a project for the acquisition of control of the company SAS Mélaury by the company SARL Madorinvest, formalized by a memorandum of understanding signed on July 10, 2009.</w:t>
      </w:r>
    </w:p>
    <w:p>
      <w:r>
        <w:t>The company SARL Madorinvest (hereinafter "Madorinvest") is a French law company whose purpose is to participate in the capital of commercial companies whose object is the purchase, sale, management, and operation of all businesses related to all products in a supermarket. The company Madorinvest is [majority] owned by Mr. and Mrs. X. The remainder of the capital of the company Madorinvest is held by the company ITM Entreprises, through a share that does not confer any special rights. The company Madorinvest, established in December 2009, has no economic activity to date. Furthermore, Mr. and Mrs. X will not hold any participation in companies other than the company Madorinvest at the time of the acquisition of the company Mélaury.</w:t>
      </w:r>
    </w:p>
    <w:p>
      <w:r>
        <w:t>The second paragraph of I of Article L. 430-1 of the Commercial Code specifies that a concentration operation is carried out "when one or more persons, already holding control of at least one company, or when one or more companies acquire, directly or indirectly, whether by acquiring shares in the capital or purchasing assets, contracts, or by any other means, control of all or part of one or more other companies." The Competition Authority recalled in its guidelines of December 16, 2009, regarding the control of concentrations that "by 'company' we mean 'any entity engaged in an economic activity, regardless of the legal status of that entity and its mode of financing,' the economic activity being understood as 'consisting of offering goods and services on a market.'” In this case, insofar as the company Madorinvest does not engage in any economic activity to date, it should be considered that Mr. and Mrs. X do not hold control of any company, within the meaning of Article L. 430-1, at the time of the realization of the present operation.</w:t>
      </w:r>
    </w:p>
    <w:p>
      <w:r>
        <w:t>The company ITM Alimentaire Sud Est is a French law company held at [&gt;50%] by the company ITM Alimentaire France, which is itself held by the company ITM Entreprises, and at [&lt;50%] by the company ITM Entreprises. The company ITM Entreprises, 100% controlled by the Société civile des Mousquetaires, which is itself held by 1,330 natural persons known as "associated members," conducts and animates the network of independent merchants known as the "Groupement des Mousquetaires." As a franchisor, the company ITM Entreprises has as its main activity the management of a network of points of sale, both food and non-food, operated by independent merchants under the following brands: Intermarché, Ecomarché, Netto, Restaumarché, Bricomarché, Roady, and Vêti.</w:t>
      </w:r>
    </w:p>
    <w:p>
      <w:r>
        <w:t>The company S.A.S. Mélaury (hereinafter "Mélaury") is a French law company whose main object is the operation of a predominantly food store located in Brignoles (83) under the Intermarché brand. The shares of the company Mélaury are [majority] owned in full ownership and [minority] in usufruct by Mr. and Mrs. Y, and the latter are signatories of the membership charter of the Groupement des Mousquetaires. The remainder of the capital of the company Mélaury is held by the company ITM Alimentaire Sud Est to the extent of [&lt;10%] in full ownership, and the company ITM Entreprises holds a preferred share owned in full ownership. The statutes of the company Mélaury, updated on March 1, 2007, grant ITM Entreprises, for a period of [&gt;15] years, the possibility to block any change of brand, to oppose any transfer of shares, and to compel the majority shareholders to sell the business as soon as they operate a similar business under a competing brand. Furthermore, the company Mélaury signed a brand contract on December 1, 2007, with ITM Entreprises, by which the use of the Intermarché brand is granted for the operation of its business. Additionally, the brand contract grants ITM Entreprises, also for a period of [&gt;15] years, a right of first refusal in the event of the sale of the business at a price calculated according to a predetermined formula. Finally, after [a period &gt; 15 years], if ITM Entreprises no longer has the ability to block any change of brand or to oppose any transfer of shares, ITM Entreprises retains a right of first refusal on any sale of shares for an additional [&gt;2 years]. Before the operation, ITM Entreprises already held joint control over the company Mélaury, along with Mr. and Mrs. Y.</w:t>
      </w:r>
    </w:p>
    <w:p>
      <w:r>
        <w:t>Given the elements that precede, the notified operation is analyzed as a joint acquisition of control by Mr. and Mrs. X, natural persons, over Mélaury, with ITM Entreprises retaining the joint control it already held before the operation. Mr. and Mrs. X do not hold control of any other company at the time of the operation, and the present operation does not fall within the scope of Article L. 430-1 of the Commercial Code.</w:t>
      </w:r>
    </w:p>
    <w:p>
      <w:r>
        <w:t>I therefore inform you that the notified operation is not subject to the concentration control provided for in Articles L. 430-3 and following of the Commercial Code.</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