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https://www.autoritedelaconcurrence.fr/fr/decision-de-controle-des-concentrations/relative-lacquisition-de-la-societe-sia-champagne-ardenne</w:t>
      </w:r>
    </w:p>
    <w:p>
      <w:r>
        <w:t>Pages translated : 2</w:t>
      </w:r>
    </w:p>
    <w:p/>
    <w:p>
      <w:r>
        <w:rPr>
          <w:b/>
        </w:rPr>
        <w:t>[Pages 1–2]</w:t>
      </w:r>
    </w:p>
    <w:p>
      <w:r>
        <w:t xml:space="preserve">FRENCH REPUBLIC  </w:t>
        <w:br/>
        <w:t xml:space="preserve">Decision No. 11-DCC-122 of August 17, 2011  </w:t>
        <w:br/>
        <w:t xml:space="preserve">regarding the acquisition of two business assets of the company SIA Champagne Ardenne by the company SAS Centrale Automobile Strasbourg  </w:t>
        <w:br/>
        <w:t xml:space="preserve">The Competition Authority,  </w:t>
        <w:br/>
        <w:t xml:space="preserve">Having regard to the complete notification file sent to the mergers department on July 19, 2011, concerning the acquisition of two business assets of the company SIA Champagne Ardenne by the company SAS Centrale Automobile Strasbourg;  </w:t>
        <w:br/>
        <w:t xml:space="preserve">Having regard to Book IV of the Commercial Code relating to the freedom of prices and competition, and in particular its Articles L. 430-1 to L. 430-7;  </w:t>
        <w:br/>
        <w:t xml:space="preserve">Adopts the following decision:  </w:t>
        <w:br/>
        <w:t xml:space="preserve">1. The company SAS Centrale Automobile Strasbourg is a family company that operates car dealerships of brands, Renault and Dacia, Fiat, Opel, Hyundai, Volvo, Saab, Honda, Nissan, Peugeot, and Toyota in the departments of Meurthe and Moselle (57), Moselle (57), Ardennes (08), Doubs (25), Côte d’Or (21), Haut-Rhin (68), Bas-Rhin (67), Territoire de Belfort (90), Aisne (02), and Loire (42).  </w:t>
        <w:br/>
        <w:t xml:space="preserve">2. The notified operation consists of the exclusive control of two business assets of the company SIA Champagne Ardenne, operating a Peugeot car dealership in the cities of Reims and Cormontreuil (51), by the company SAS Centrale Automobile Strasbourg. It constitutes a concentration operation within the meaning of Article L. 430-1 of the Commercial Code. Given the turnover achieved by the companies involved,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  </w:t>
        <w:br/>
        <w:t>3. In light of the elements of the file, the operation is not likely to harm competition in the relevant markets.</w:t>
      </w:r>
    </w:p>
    <w:p>
      <w:r>
        <w:t xml:space="preserve">DECIDES  </w:t>
        <w:br/>
        <w:t xml:space="preserve">Sole Article: The operation notified under number 11-0132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