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https://www.autoritedelaconcurrence.fr/fr/decision-de-controle-des-concentrations/relative-lacquisition-de-la-societe-soditrive-par-la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13-DCC-33 of March 19, 2013  </w:t>
        <w:br/>
        <w:t>regarding the acquisition of the company Soditrive by the company Amidis et Compagnie (Carrefour group)</w:t>
      </w:r>
    </w:p>
    <w:p>
      <w:r>
        <w:t>The Competition Authority,</w:t>
      </w:r>
    </w:p>
    <w:p>
      <w:r>
        <w:t>Having regard to the complete notification file submitted to the mergers department on February 15, 2013, concerning the acquisition of the company Soditrive by the company Amidis et Compagnie, a subsidiary of the Carrefour group, formalized by a share transfer agreement dated February 1, 2013;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>Adopts the following decision:</w:t>
      </w:r>
    </w:p>
    <w:p>
      <w:r>
        <w:t>1. The notified transaction consists of the exclusive control acquisition of the company Soditrive, operating a predominantly food-based business, with a surface area of 3,918 m², operated under the Carrefour Market brand, and located in the city of Auterive (31), by the company Amidis et Compagnie, a subsidiary of the Carrefour group. It constitutes a concentration operation within the meaning of Article L. 430-1 of the Commercial Code. Given the revenues generated by the companies concerned,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13-031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