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https://www.autoritedelaconcurrence.fr/fr/decision-de-controle-des-concentrations/relative-lacquisition-de-la-societe-somaco-par-la-societe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11-DCC-195 of December 9, 2011  </w:t>
        <w:br/>
        <w:t xml:space="preserve">regarding the acquisition of the company Somaco by the company Soparvil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16, 2011, concerning the acquisition of the company Somaco by the company Soparvil,  </w:t>
        <w:br/>
        <w:t xml:space="preserve">formalized by a memorandum of understanding dated November 8,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Somaco, which  </w:t>
        <w:br/>
        <w:t xml:space="preserve">operates in Pornic (44) two retail businesses with a food-dominant focus under the brands Super U (3,964 m²) and U Express (1,130 m²), by the company Soparvil which operates in  </w:t>
        <w:br/>
        <w:t xml:space="preserve">Vendée (85) retail businesses with a food-dominant focus affiliated with  </w:t>
        <w:br/>
        <w:t xml:space="preserve">Groupement Système U.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have a community dimension. On the other hand, the thresholds for  </w:t>
        <w:br/>
        <w:t xml:space="preserve">control related to retail trade mentioned in point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11-0217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