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https://www.autoritedelaconcurrence.fr/fr/decision-de-controle-des-concentrations/relative-lacquisition-de-la-societe-tanavi-par-la-societe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11-DCC-72 of May 19, 2011  </w:t>
        <w:br/>
        <w:t xml:space="preserve">regarding the acquisition of the company Tanavi by the company ITM Alimentaire Sud-Est  </w:t>
        <w:br/>
        <w:t xml:space="preserve">The Competition Authority,  </w:t>
        <w:br/>
        <w:t xml:space="preserve">Having regard to the complete notification file submitted to the mergers department on April 22, 2011, concerning the acquisition by the company ITM Alimentaire Sud-Est of exclusive control of the company Tanavi formalized by a contract dated April 12, 2011.  </w:t>
        <w:br/>
        <w:t xml:space="preserve">Having regard to Book IV of the Commercial Code relating to the freedom of prices and competition, and in particular its Articles L. 430-1 to L. 430-7;  </w:t>
        <w:br/>
        <w:t xml:space="preserve">Having regard to the additional elements provided by the parties during the investigation;  </w:t>
        <w:br/>
        <w:t xml:space="preserve">Adopts the following decision:  </w:t>
        <w:br/>
        <w:t xml:space="preserve">1. The notified operation consists of the acquisition of exclusive control of the company Tanavi, operating a supermarket under the Intermarché brand in Saint Paul Trois Châteaux (26), by the company ITM Alimentaire Sud-Est and constitutes a concentration operation within the meaning of Article L. 430-1 of the Commercial Code. Given the turnover achieved by the companies involved, the operation does not have a community dimension. However, the control thresholds related to retail trade mentioned in point II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11-0079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