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https://www.autoritedelaconcurrence.fr/fr/decision-de-controle-des-concentrations/relative-lacquisition-de-la-societe-ucga-unifrais-sa-par-la</w:t>
      </w:r>
    </w:p>
    <w:p>
      <w:r>
        <w:t>Pages translated : 6</w:t>
      </w:r>
    </w:p>
    <w:p/>
    <w:p>
      <w:r>
        <w:rPr>
          <w:b/>
        </w:rPr>
        <w:t>[Pages 1–3]</w:t>
      </w:r>
    </w:p>
    <w:p>
      <w:r>
        <w:t xml:space="preserve">FRENCH REPUBLIC  </w:t>
        <w:br/>
        <w:t xml:space="preserve">Decision No. 11-DCC-172 of November 28, 2011  </w:t>
        <w:br/>
        <w:t xml:space="preserve">regarding the acquisition of UCGA-Unifrais SA by  </w:t>
        <w:br/>
        <w:t>Colruyt France SA</w:t>
      </w:r>
    </w:p>
    <w:p>
      <w:r>
        <w:t xml:space="preserve">The Competition Authority,  </w:t>
        <w:br/>
        <w:t xml:space="preserve">Having regard to the notification file sent to the merger service on June 10, 2011, and declared complete on October 21, 2011, concerning the acquisition of control of UCGA-Unifrais by Colruyt France SA, formalized by a share transfer deed signed on January 20, 2009, followed by a capital increase carried out on April 30, 2009;  </w:t>
        <w:br/>
        <w:t xml:space="preserve">Having regard to Book IV of the Commercial Code relating to price freedom and competition, and in particular Articles L. 430-1 to L. 430-7;  </w:t>
        <w:br/>
        <w:t xml:space="preserve">Having regard to the supplementary elements submitted by the parties during the investigation;  </w:t>
        <w:br/>
        <w:t>Adopts the following decision:</w:t>
      </w:r>
    </w:p>
    <w:p>
      <w:r>
        <w:t xml:space="preserve">I. The companies concerned and the operation  </w:t>
        <w:br/>
        <w:t xml:space="preserve">1. Ets Fr. Colruyt SA is a company under Belgian law, head of the Colruyt group, which operates in the retail trade predominantly in food and wholesale trade. The group is present in France through its wholly-owned subsidiary Colruyt France SA and operates supermarkets in the North-East quarter of France. The group also ensures the wholesale sale of food products in France to affiliated independent food stores. Finally, it is active as a wholesaler to the out-of-home catering sector (hereinafter "RHF") (dry and fresh products) and operates sixteen "cash and carry" stores in the large North-East quarter of France.  </w:t>
        <w:br/>
        <w:t xml:space="preserve">2. UCGA-Unifrais is the parent company of the Unifrais group, whose main activity consists of the wholesale distribution of fresh products to the RHF, notably through its subsidiaries Sodifrais and Garnaud. UCGA-Unifrais is also a purchasing and referencing center for fresh products for its shareholders and for its members, who are themselves active in the wholesale sector of fresh products to the RHF.  </w:t>
        <w:br/>
        <w:t xml:space="preserve">3. Colruyt acquired exclusive control of the Unifrais group in two stages. First, Colruyt acquired […] % of the capital and voting rights in UCGA-Unifrais, in accordance with the share transfer deed signed on January 20, 2009. Subsequently, the extraordinary general meeting on March 31, 2009, voted for a capital increase, following which Colruyt acquired 97.28% of the capital of UCGA-Unifrais. This capital increase was recorded by the board of directors on April 30, 2009.  </w:t>
        <w:br/>
        <w:t>4. As it results in the exclusive control by Colruyt of the Unifrais group, the notified operation constitutes a concentration within the meaning of Article L. 430-1 of the Commercial Code. The companies concerned together achieve a total worldwide turnover of more than 150 million euros (Colruyt group: 6.3 billion euros for the fiscal year ending March 31, 2009; Unifrais group: […] million euros for the fiscal year ending April 30, 2008). Each achieves in France a turnover exceeding 50 million euros (Colruyt group: 651 million euros for the fiscal year ending March 31, 2009; Unifrais group: […] million euros for the fiscal year ending April 30, 2008). Given these turnover figures, the operation does not have a Community dimension. However, the control thresholds mentioned in point I of Article L. 430-2 of the Commercial Code in force at the date of the operation are exceeded. This operation is therefore subject to the provisions of Articles L. 430-3 and following of the Commercial Code relating to economic concentration.</w:t>
      </w:r>
    </w:p>
    <w:p>
      <w:r>
        <w:t xml:space="preserve">II. Delimitation of relevant markets  </w:t>
        <w:br/>
        <w:t xml:space="preserve">A. THE MARKETS FOR PRODUCTS AND SERVICES  </w:t>
        <w:br/>
        <w:t xml:space="preserve">5. The operation results in overlaps of activity in the wholesale distribution sector of food products.  </w:t>
        <w:br/>
        <w:t xml:space="preserve">1. THE UPSTREAM MARKETS FOR THE SUPPLY OF FRESH FOOD PRODUCTS  </w:t>
        <w:br/>
        <w:t xml:space="preserve">6. Regarding the "upstream" supply markets, the decision-making practice of competition authorities does not distinguish the sale of everyday consumer goods by producers to wholesalers from those made to other customers such as retailers or the RHF. On the other hand, it delineates as many relevant markets as there are groups of products. In this case, the parties to the operation are simultaneously active in this market as buyers of fresh food products.  </w:t>
        <w:br/>
        <w:t xml:space="preserve">7. Specifically concerning fresh food products, the following are distinguished: dairy products, cold cuts and catering products, seafood, fruits and vegetables, and meat products.  </w:t>
        <w:br/>
        <w:t xml:space="preserve">1 Decision of the Commission M. 2115 Carrefour/GB of September 28, 2000.  </w:t>
        <w:br/>
        <w:t>2 Decision of the Competition Authority No. 10-DCC-158 of November 22, 2010.</w:t>
      </w:r>
    </w:p>
    <w:p>
      <w:r>
        <w:t xml:space="preserve">2. THE DOWNSTREAM MARKETS FOR THE DISTRIBUTION OF FOOD PRODUCTS  </w:t>
        <w:br/>
        <w:t xml:space="preserve">8. Downstream, regarding the wholesale distribution of food products, national and Community decision-making practice has repeatedly recognized the existence of distinct markets by distribution channel: firstly, large-scale distribution and food-dominant stores, secondly, the RHF, and finally, the agri-food industry. In this case, the parties concerned are simultaneously active in the sector of food product distribution to the RHF.  </w:t>
        <w:br/>
        <w:t xml:space="preserve">9. The RHF is traditionally composed of independent professionals (cafes, hotels, restaurants (hereinafter "CHR")), restaurant chains (corporate catering, etc.), and communities (hospitals, military, schools, etc.) whose activity consists of preparing and offering their clientele a particular mode of catering forming a menu and generally including a starter, a main course, cheese, and/or dessert.  </w:t>
        <w:br/>
        <w:t xml:space="preserve">10. Furthermore, a segmentation by type of clients has been considered, distinguishing "large accounts" (restaurant chains and certain communities) "that negotiate global purchases on a national basis" and smaller clients (notably CHR) "whose supplies are made on a very short periodic basis." However, the Authority recently noted that, insofar as the marketed products and delivery conditions were identical for these two categories of clientele, there was no need to retain two distinct markets.  </w:t>
        <w:br/>
        <w:t xml:space="preserve">11. Regarding segmentation by types of products, four main families can be distinguished within the wholesale trade of food products: (1) fresh products, (2) beverages, (3) frozen products and ice creams, (4) grocery products and confectionery (hereinafter "dry products"). The demand from the RHF generally concerns all of these products, and wholesalers can offer a wide assortment of products. Nevertheless, many of them concentrate their activity on one of these families. Concerning fresh products, a distinction has been considered between fruits and vegetables, dairy products, and meat products.  </w:t>
        <w:br/>
        <w:t>6 Id.</w:t>
      </w:r>
    </w:p>
    <w:p>
      <w:r>
        <w:t xml:space="preserve">12. In this case, the operation results in an overlap of activity in the wholesale distribution of dairy products and fresh meat products to the RHF, the only common activities between the acquirer and the target.  </w:t>
        <w:br/>
        <w:t xml:space="preserve">13. Colruyt also distributes dry products to the RHF. The notifying party indicated that […] % of Colruyt's clientele purchases both fresh and dry products. Thus, this market is concerned in terms of the potential conglomerate effects of the operation.  </w:t>
        <w:br/>
        <w:t xml:space="preserve">14. Finally, the Authority considered that it was appropriate to distinguish cash and carry warehouses from traditional wholesale trade given the  </w:t>
        <w:br/>
        <w:t xml:space="preserve">3 Cf. the decisions of the European Commission of March 8, 2000, in case COMP/M.1802 – Unilever/Amora Maille and of September 28, 2000, in case COMP/M.1990 Unilever/Bestfoods. Opinion 98-A-09 Coca-Cola/Orangina of the Competition Council of July 29, 1998, published in BOCCRF of October 7, 1998; decision of the minister C2008-67/ Letter from the Minister of Economy, Industry and Employment of September 4, 2008, to the board of the company Baninvest, regarding a concentration in the food sector. Decisions of the Competition Authority No. 09-DCC-50 of October 1, 2009, and No. 10-DCC-158 of November 22, 2010.  </w:t>
        <w:br/>
        <w:t xml:space="preserve">4 Cf. C2006-158 / Letter from the Minister of Economy, Finance and Industry of March 28, 2007, to the board of the company Maîtres Laitiers du Cotentin, regarding a concentration in the dairy products and raw materials for bakery-pastry sector for professionals.  </w:t>
        <w:br/>
        <w:t xml:space="preserve">5 Decision of the Competition Authority No. 10-DCC-158 of November 22, 2010.  </w:t>
        <w:br/>
        <w:t>6 Id.</w:t>
      </w:r>
    </w:p>
    <w:p>
      <w:r>
        <w:rPr>
          <w:b/>
        </w:rPr>
        <w:t>[Pages 4–6]</w:t>
      </w:r>
    </w:p>
    <w:p>
      <w:r>
        <w:t>differences observed both on the demand side and the supply side. The competitive analysis will therefore be conducted solely on the segment of traditional wholesale trade where the operation results in an overlap of activity.</w:t>
      </w:r>
    </w:p>
    <w:p>
      <w:r>
        <w:t>15. In this case, however, the question of the precise delineation of these markets can be left open, as the conclusions of the analysis remain unchanged.</w:t>
      </w:r>
    </w:p>
    <w:p>
      <w:r>
        <w:t>B. GEOGRAPHICAL DELINEATION OF MARKETS</w:t>
      </w:r>
    </w:p>
    <w:p>
      <w:r>
        <w:t>1. THE UPSTREAM MARKET FOR THE SUPPLY OF FRESH FOOD PRODUCTS</w:t>
      </w:r>
    </w:p>
    <w:p>
      <w:r>
        <w:t>16. The geographical dimension of the market for the supply of food products is national. Indeed, due to consumer preferences, tastes, and eating habits, price differences, and variations in market shares held by the main operators according to the different Member States and the presence of manufacturer or distributor brands marketed exclusively at the national level, an expansion of the geographical dimension to the European level is not relevant.</w:t>
      </w:r>
    </w:p>
    <w:p>
      <w:r>
        <w:t>2. DOWNSTREAM MARKETS FOR THE DISTRIBUTION OF FOOD PRODUCTS</w:t>
      </w:r>
    </w:p>
    <w:p>
      <w:r>
        <w:t>17. Recent national decision-making practice has considered that the markets for the wholesale distribution of food products to the RHF (out-of-home catering) have a dual dimension: a national dimension, resulting from the characteristics of the demand from major RHF accounts, which negotiate their supply conditions at the national level; and a local dimension leading to the determination of catchment areas where wholesalers compete to meet the demand of CHR (cafes, hotels, restaurants) and local shops.</w:t>
      </w:r>
    </w:p>
    <w:p>
      <w:r>
        <w:t>18. The competitive analysis will therefore be conducted at both the national and local levels. In this case, the operation results in an overlap of activity in the Poitou-Charentes region and the Ile-de-France region.</w:t>
      </w:r>
    </w:p>
    <w:p>
      <w:r>
        <w:t>19. In Ile-de-France, it should be noted that the competitive pressure exerted by wholesalers present in the national market of Rungis is taken into account, in accordance with previous decision-making practice.</w:t>
      </w:r>
    </w:p>
    <w:p>
      <w:r>
        <w:t>20. In this case, however, the question of the precise delineation of these markets can be left open, as the conclusions of the analysis remain unchanged.</w:t>
      </w:r>
    </w:p>
    <w:p>
      <w:r>
        <w:t>III. THE COMPETITIVE ANALYSIS OF THE OPERATION</w:t>
      </w:r>
    </w:p>
    <w:p>
      <w:r>
        <w:t>A. HORIZONTAL EFFECTS</w:t>
      </w:r>
    </w:p>
    <w:p>
      <w:r>
        <w:t>1. THE UPSTREAM MARKET FOR THE SUPPLY OF FRESH PRODUCTS</w:t>
      </w:r>
    </w:p>
    <w:p>
      <w:r>
        <w:t>21. The parties concerned are simultaneously present as buyers in the market for the supply of fresh products.</w:t>
      </w:r>
    </w:p>
    <w:p>
      <w:r>
        <w:t>22. Following the operation, the new entity will account for only about [0-5]% of purchases in this overall market. Suppliers have significant alternative outlets with the numerous players in the GMS (large-scale retail), competing wholesalers, and agri-food manufacturers.</w:t>
      </w:r>
    </w:p>
    <w:p>
      <w:r>
        <w:t>23. When the market is segmented by product category, the purchases of the new entity do not exceed [0-5]% regarding dairy products and meat products.</w:t>
      </w:r>
    </w:p>
    <w:p>
      <w:r>
        <w:t>24. Thus, the notified operation is not likely to strengthen the purchasing power of the companies concerned vis-à-vis their suppliers.</w:t>
      </w:r>
    </w:p>
    <w:p>
      <w:r>
        <w:t>2. DOWNSTREAM MARKETS FOR THE DISTRIBUTION OF DAIRY PRODUCTS AND MEAT PRODUCTS TO THE RHF</w:t>
      </w:r>
    </w:p>
    <w:p>
      <w:r>
        <w:t>25. In a national market for the wholesale distribution of dairy products to the RHF, the new entity accounts for approximately [5-10]% of sales and continues to face competition from the market leader, Maîtres Laitiers du Cotentin (Eurofrais group), whose market share is estimated by the parties at [20-30]%, Pomona (approximately [20-30]%), Transgourmet ([10-20]%), and Brake ([10-20]%).</w:t>
      </w:r>
    </w:p>
    <w:p>
      <w:r>
        <w:t>26. In a national market for the wholesale distribution of meat products to the RHF, the market share of the new entity is marginal and remains in any case below [0-5]%. The main competitors of the new entity are Maîtres Laitiers du Cotentin ([10-20]%), Stalaven, Paste, and Loste, whose respective market shares range between [0-5]% and [5-10]%.</w:t>
      </w:r>
    </w:p>
    <w:p>
      <w:r>
        <w:t>27. At the local level, overlaps of activity occur in the Poitou-Charentes and Ile-de-France regions.</w:t>
      </w:r>
    </w:p>
    <w:p>
      <w:r>
        <w:t>28. In Poitou-Charentes, only the market for the wholesale distribution of dairy products to the RHF is concerned by the operation. The new entity has a market share estimated at [10-20]% with a very low addition of market shares, Colruyt being very marginally active in this market. Furthermore, national competitors such as Maîtres Laitiers du Cotentin, Pomona, Brake, and Transgourmet are established in the region and have market shares similar to their national market shares.</w:t>
      </w:r>
    </w:p>
    <w:p>
      <w:r>
        <w:t>29. In Ile-de-France, in the market for the wholesale distribution of dairy products to the RHF, the new entity holds an estimated market share of [10-20]% (Colruyt: [5-10]%; Unifrais: [5-10]%). The market leader remains Maîtres Laitiers du Cotentin ([20-30]%), followed by Pomona ([10-20]%), Transgourmet ([5-10]%), and Brake ([5-10]%).</w:t>
      </w:r>
    </w:p>
    <w:p>
      <w:r>
        <w:t>Regarding the market for the wholesale distribution of meat products to the RHF, the operation results in a very limited overlap of activity (Colruyt: [0-5]%; Unifrais: [0-5]%).</w:t>
      </w:r>
    </w:p>
    <w:p>
      <w:r>
        <w:t>30. Thus, the notified operation is not likely to harm competition through horizontal effects.</w:t>
      </w:r>
    </w:p>
    <w:p>
      <w:r>
        <w:t>B. CONGLOMERATE EFFECTS</w:t>
      </w:r>
    </w:p>
    <w:p>
      <w:r>
        <w:t>31. Colruyt is also present in the market for the wholesale sale of dry products to the RHF, which has connections with the market for the wholesale sale of fresh products, as the RHF often makes its purchases in these two product categories from the same wholesaler. However, given Colruyt's limited market share both at the national level (estimated market share of [10-20]%) and at the regional level (Poitou-Charentes: [10-20]%; Ile-de-France: [5-10]%), the operation is not likely to harm competition through conglomerate effects.</w:t>
      </w:r>
    </w:p>
    <w:p>
      <w:r>
        <w:t>32. It follows from the elements presented above that the operation is not likely to harm competition in all the markets concerned by the operation.</w:t>
      </w:r>
    </w:p>
    <w:p>
      <w:r>
        <w:t>DECIDES</w:t>
      </w:r>
    </w:p>
    <w:p>
      <w:r>
        <w:t>Sole Article: The notified operation under number 11-0113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