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https://www.autoritedelaconcurrence.fr/fr/decision-de-controle-des-concentrations/relative-lacquisition-de-trois-fonds-de-commerce-par-la</w:t>
      </w:r>
    </w:p>
    <w:p>
      <w:r>
        <w:t>Pages translated : 2</w:t>
      </w:r>
    </w:p>
    <w:p/>
    <w:p>
      <w:r>
        <w:rPr>
          <w:b/>
        </w:rPr>
        <w:t>[Pages 1–2]</w:t>
      </w:r>
    </w:p>
    <w:p>
      <w:r>
        <w:t xml:space="preserve">FRENCH REPUBLIC  </w:t>
        <w:br/>
        <w:t xml:space="preserve">Decision No. 11-DCC-82 of May 23, 2011  </w:t>
        <w:br/>
        <w:t xml:space="preserve">regarding the acquisition of three businesses by the company Metin SA  </w:t>
        <w:br/>
        <w:t xml:space="preserve">The Competition Authority,  </w:t>
        <w:br/>
        <w:t xml:space="preserve">Having regard to the notification file sent to the mergers department on April 19, 2011, declared complete on May 6, 2011, concerning the acquisition by the company Metin SA of three businesses belonging to Société Commerciale Automobile, Société Commerciale des Garages Coffre, and SA Garages Coffres, all direct and indirect subsidiaries of the company Peugeot SA;  </w:t>
        <w:br/>
        <w:t xml:space="preserve">Having regard to Book IV of the Commercial Code relating to the freedom of prices and competition, and in particular its Articles L. 430-1 to L. 430-7;  </w:t>
        <w:br/>
        <w:t xml:space="preserve">Adopts the following decision:  </w:t>
        <w:br/>
        <w:t xml:space="preserve">1. Metin SA belongs to the Metin group, a family group operating car dealerships primarily under the Peugeot brand and in Seine-et-Marne. The notified operation consists of the exclusive control by Metin SA of three businesses belonging to Société Commerciale Automobile, Société Commerciale des Garages Coffre, and SA Garages Coffres, three direct and indirect subsidiaries of the company Peugeot SA, each operating a Peugeot car dealership in the towns of Corbeil (91), Avon (77), and Nemours (77).  </w:t>
        <w:br/>
        <w:t xml:space="preserve">2. It constitutes a concentration operation within the meaning of Article L. 430-1 of the Commercial Code. Given the turnover achieved by the companies concerned, the operation does not have a community dimension. On the other hand, the retail trade control thresholds mentioned in point II of Article L. 430-2 of the Commercial Code are exceeded. The present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operation notified under number 11-0076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