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https://www.autoritedelaconcurrence.fr/fr/decision-de-controle-des-concentrations/relative-lacquisition-delements-dactifs-de-la-societe</w:t>
      </w:r>
    </w:p>
    <w:p>
      <w:r>
        <w:t>Pages translated : 2</w:t>
      </w:r>
    </w:p>
    <w:p/>
    <w:p>
      <w:r>
        <w:rPr>
          <w:b/>
        </w:rPr>
        <w:t>[Pages 1–2]</w:t>
      </w:r>
    </w:p>
    <w:p>
      <w:r>
        <w:t xml:space="preserve">FRENCH REPUBLIC  </w:t>
        <w:br/>
        <w:t xml:space="preserve">Decision No. 13-DCC-27 of March 5, 2013  </w:t>
        <w:br/>
        <w:t xml:space="preserve">regarding the acquisition of assets from the company Danzel World Automobile by the company Metin Holding  </w:t>
        <w:br/>
        <w:t xml:space="preserve">The Competition Authority,  </w:t>
        <w:br/>
        <w:t xml:space="preserve">Having regard to the notification file sent to the mergers department on January 11, 2013, and declared complete on February 13, 2013, concerning the acquisition of three branches of automotive business assets belonging to the company Danzel World Automobile (hereinafter "DWA") by the company Metin Holding, formalized by the judgment of the Commercial Court of Versailles dated February 7, 2013;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of three branches of automotive dealership business operating under the Seat brand located in Seine-et-Marne (77) and in Paris (75), by the company Metin Holding, which itself operates dealerships of various brands in Seine-et-Marne (77) and in the neighboring departments. It therefore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13-004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