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https://www.autoritedelaconcurrence.fr/fr/decision-de-controle-des-concentrations/relative-lacquisition-des-actifs-du-groupe-la-city-par-le</w:t>
      </w:r>
    </w:p>
    <w:p>
      <w:r>
        <w:t>Pages translated : 5</w:t>
      </w:r>
    </w:p>
    <w:p/>
    <w:p>
      <w:r>
        <w:rPr>
          <w:b/>
        </w:rPr>
        <w:t>[Pages 1–3]</w:t>
      </w:r>
    </w:p>
    <w:p>
      <w:r>
        <w:t xml:space="preserve">FRENCH REPUBLIC  </w:t>
        <w:br/>
        <w:t xml:space="preserve">Decision No. 11-DCC-49 of March 24, 2011  </w:t>
        <w:br/>
        <w:t xml:space="preserve">regarding the acquisition of the assets of the La City group by the Beaumanoir group  </w:t>
        <w:br/>
        <w:t xml:space="preserve">The Competition Authority,  </w:t>
        <w:br/>
        <w:t xml:space="preserve">Having regard to the notification file sent to the merger service on October 29, 2010, and declared complete on March 14, 2011, concerning the acquisition of the assets of the La City group by the Beaumanoir group, formalized by a takeover bid submitted to the Commercial Court of Paris on January 17, 2011, and accepted by judgment pronounced on February 1;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CCV Beaumanoir is a public limited company, holding company of the Beaumanoir group (hereinafter "Beaumanoir"), active in the retail sale of ready-to-wear, primarily women's clothing, through a network of five brands: Cache-Cache, Patrice Bréal, Scottage, Bonobo, and Morgan. Marginally, Beaumanoir distributes accessories and shoes within its network. The group is also present in the field of logistics applied to the distribution of clothing (multi-client order preparation) through its subsidiaries C-Log, Païkan, and Dginie.  </w:t>
        <w:br/>
        <w:t xml:space="preserve">2. The La City group (hereinafter "La City"), consisting of the simplified joint-stock company La City and its 100% subsidiary DEF (which operates a single point of sale located in La Défense), is active in the sector of women's ready-to-wear distribution, and marginally in accessories, through 67 points of sale located in city centers or in shopping centers on the outskirts of cities.  </w:t>
        <w:br/>
        <w:t>3. By judgment of April 27, 2010, the Commercial Court of Bobigny opened two judicial recovery proceedings against the companies La City and DEF. By order of December 16, 2010, these cases were referred to the Commercial Court of Paris.</w:t>
      </w:r>
    </w:p>
    <w:p>
      <w:r>
        <w:t xml:space="preserve">Beaumanoir submitted on January 17, 2011, two takeover bids concerning respectively La City and DEF, which were accepted by judgment on February 1, 2011. These offers involve the acquisition of all business assets (66 for La City and 1 for DEF), employment contracts, stocks and ongoing orders, as well as intellectual and industrial property rights (notably the trademark).  </w:t>
        <w:br/>
        <w:t xml:space="preserve">4. As it results in the exclusive control of the assets of the La City group by Beaumanoir, the notified operation constitutes a concentration within the meaning of Article L. 430-1 of the Commercial Code. The companies concerned operate retail stores and together achieve a total worldwide turnover of more than 75 million euros (Beaumanoir: […] million euros for the fiscal year ending February 28, 2010; La City: […] million euros for the fiscal year ending March 31, 2010). Each achieves, in France, in the retail sector, a turnover exceeding 15 million euros (Beaumanoir: […] million for the fiscal year ending February 28, 2010; La City: […] million euros for the fiscal year ending March 31, 2010). Given the turnover figures of the companies concerned, the operation does not have a community dimension. On the other hand, the control thresholds mentioned in point II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5. The parties to the operation are simultaneously active in the sector of ready-to-wear sales. They also sell accessories and shoes in conjunction with their ready-to-wear collections.  </w:t>
        <w:br/>
        <w:t xml:space="preserve">6. Beaumanoir also develops logistics activities in the field of clothing distribution, which have a vertical link with the retail sale of clothing. However, this is essentially an intra-group activity, with only the subsidiary C-Log having external clients representing approximately [5-10]% of its activity. In any case, and without the need to precisely define the logistics market, C-Log's market share remains marginal. Furthermore, C-Log faces competition from numerous specialized operators so that the operation is not likely to harm competition either in a potential logistics market or, through vertical effects, in the downstream retail clothing market.  </w:t>
        <w:br/>
        <w:t>1 Decisions of the Competition Authority 09-DCC-13 of June 16, 2009, regarding the exclusive control of Giraud CEE and Giraud Sidérurgie by Géodis; 10-DCC-48 of June 2, 2010, regarding the exclusive control of Amonite SAS by Manuloc SA.</w:t>
      </w:r>
    </w:p>
    <w:p>
      <w:r>
        <w:t xml:space="preserve">A. DELIMITATION OF PRODUCT MARKETS  </w:t>
        <w:br/>
        <w:t xml:space="preserve">7. In the sector of clothing and accessories sales, decision-making practice distinguishes an upstream market for the supply of clothing and accessories and a downstream market for their retail sale. In this case, the parties to the operation are simultaneously present in the clothing supply market as buyers and in the downstream retail market.  </w:t>
        <w:br/>
        <w:t xml:space="preserve">8. Regarding the retail sale of clothing and accessories in stores, decision-making practice distinguishes (i) by gender (men, women, children) (ii) by distribution channel (specialized store, large specialized stores, large food stores) and (iii) by range (low, medium, high-end). In this case, the parties are simultaneously active only in the specialized retail market for medium-range women's clothing.  </w:t>
        <w:br/>
        <w:t xml:space="preserve">9. Furthermore, decision-making practice has considered a distinction between in-store sales and distance sales, all distance sales channels combined. However, in this case, only Beaumanoir is present in the distance sales channel. This market is therefore not concerned by the present operation.  </w:t>
        <w:br/>
        <w:t xml:space="preserve">10. The question of the exact delimitation of the markets can be left open as the conclusions of the competitive analysis remain unchanged.  </w:t>
        <w:br/>
        <w:t xml:space="preserve">B. DELIMITATION OF GEOGRAPHIC MARKETS  </w:t>
        <w:br/>
        <w:t xml:space="preserve">11. According to previous decision-making practice, the market for the supply of clothing and accessories is of a global size.  </w:t>
        <w:br/>
        <w:t xml:space="preserve">12. Regarding the retail distribution of clothing and accessories, competition occurs between points of sale in catchment areas. Two criteria have been used to delineate these areas:  </w:t>
        <w:br/>
        <w:t xml:space="preserve">- on the one hand, from the consumers' perspective, there are as many markets as there are cities where retailers likely to sell these items are located, each of these markets  </w:t>
        <w:br/>
        <w:t xml:space="preserve">2 See, for example, Letter from the Minister of Economy, Industry and Employment C2008-16 of April 30, 2008, to the advisors of Vivarte, regarding a concentration in the clothing and sports shoes sector; Letter from the Minister of Economy, Finance and Industry C2007-28 of April 30, 2007, to the advisors of Vivarte, regarding a concentration in the clothing sector.  </w:t>
        <w:br/>
        <w:t xml:space="preserve">3 Letter from the Minister of Economy, Finance and Industry C2005-129 to the advisors of Glam regarding a concentration in the ready-to-wear sector.  </w:t>
        <w:br/>
        <w:t xml:space="preserve">4 Letter from the Minister of Economy, Finance and Industry of July 24, 2003, to the advisors of Vetir SA regarding a concentration in the clothing distribution sector. In this decision, the offer of large food stores was deemed substitutable for that of large specialized stores; Decisions of the Competition Authority No. 10-DCC-86 of August 4, 2010, regarding the exclusive control of Aster-Mod by Verywear, No. 10-DCC-159 of November 12, 2010, regarding the control of Comptoir Français de la Mode by Du Pareil au Même, No. 10-DCC-139 of October 27, 2010, regarding the joint control of Maje, Sandro, Claudie Pierlot, and HF Biousse by L Capital and Florac.  </w:t>
        <w:br/>
        <w:t xml:space="preserve">5 Letter from the Minister of Economy, Finance and Industry of July 24, 2003, cited above.  </w:t>
        <w:br/>
        <w:t xml:space="preserve">6 Decision of the Competition Authority No. 10-DCC-77 of July 9, 2010, regarding the exclusive control of Afibel SAS by Damartex SA.  </w:t>
        <w:br/>
        <w:t xml:space="preserve">7 See, for example, Letter from the Minister of Economy, Industry and Employment C2008-16 cited above; Letter from the Minister of Economy, Finance and Industry C2007-28 of April 30, 2007, cited above; Letter from the Minister of Economy, Finance and Industry C2007-43 of May 15, 2007, to the advisors of Vivarte, regarding a concentration in the retail shoe sector.  </w:t>
        <w:br/>
        <w:t>8 See Letter from the Minister of Economy, Finance and Industry C2007-28 cited above and the decisions of the Competition Authority No. 10-DCC-139 and No. 10-DCC-159 cited above.</w:t>
      </w:r>
    </w:p>
    <w:p>
      <w:r>
        <w:rPr>
          <w:b/>
        </w:rPr>
        <w:t>[Pages 4–5]</w:t>
      </w:r>
    </w:p>
    <w:p>
      <w:r>
        <w:t>corresponding to the commercial attraction area where these types of clothing and accessories can generally be acquired; and</w:t>
        <w:br/>
        <w:t>- on the other hand, the relevant geographic market would correspond, for hypermarkets (GSA) and specialized large stores (GSS), to an attraction radius of a 20-minute car journey. This catchment area is also considered for stores located in shopping centers adjacent to GSS or GSA.</w:t>
        <w:br/>
        <w:t>13. Furthermore, the Authority recently mentioned the growing influence in this sector of specialized distribution chains, consisting of networks of retail outlets under a common brand, operated directly, through franchising, or purchasing groups, and present throughout the national territory, or even in many countries. It thus raised the question of the relevance of an analysis on at least national markets.</w:t>
        <w:br/>
        <w:t>14. In this case, however, this question may be left open, as the conclusions of the competitive analysis remain unchanged regardless of the definition adopted.</w:t>
        <w:br/>
        <w:t>15. Due to the acquisition of business assets of La City located in city centers, the operation results in overlaps in activity in 13 cities: Paris (8 stores acquired), Lyon (2 stores acquired), Bordeaux, Toulouse, Grenoble, Saint-Brieuc, Le Mans, Marseille (2 stores), Montpellier, Reims, Metz, Angers, and Antibes.</w:t>
        <w:br/>
        <w:t>16. The acquisition of business assets located in shopping centers on the outskirts of cities also results in overlaps in 33 areas located respectively near Rosny-sous-Bois, Villeneuve-d’Ascq, Dijon (2 stores in two distinct areas), Limoges, Bègles, Vélizy-Villacoublay, Saint-Germain-en-Laye, Toulouse, Clermont-Ferrand, Nancy, Annecy, Strasbourg, Grenoble (2 stores in the same area), Nantes (2 stores in two distinct areas), Nice (2 stores in the same area), Saint-Laurent-du-Var, Avignon, Angoulême, Le Mans, Les Ulis, Marseille, Caen, Thiais, Sénart, Brive-la-Gaillarde, Nîmes, Saint-Etienne, Evry, Troyes, Brest, and Orléans.</w:t>
        <w:br/>
        <w:t>17. The acquisition of La City stores in the areas of Tours, Issy-les-Moulineaux, Créteil, Marne-la-Vallée, Noyelles-Godault, Ivry, Gonesse, Romans-sur-Isère, and Saint-Quentin-en-Yvelines does not result in any overlap in activity. These areas are therefore not affected by the operation.</w:t>
        <w:br/>
        <w:t>III. Competitive Analysis</w:t>
        <w:br/>
        <w:t>A. ON THE UPSTREAM MARKETS FOR THE SUPPLY OF CLOTHING AND ACCESSORIES</w:t>
        <w:br/>
        <w:t>18. The parties were unable to accurately assess their purchasing shares in the global markets for the supply of clothing and accessories. However, they estimated that they were below 1%.</w:t>
        <w:br/>
        <w:t>19. The operation is therefore not likely to raise competition issues in the upstream markets for the supply of clothing and accessories.</w:t>
        <w:br/>
        <w:t>9 Decision No. 10-DCC-139 cited; Decision No. 10-DCC-159 cited.</w:t>
        <w:br/>
        <w:t>10 Unless otherwise stated, only one La City store is acquired in each area.</w:t>
      </w:r>
    </w:p>
    <w:p>
      <w:r>
        <w:t>B. ON THE DOWNSTREAM MARKETS FOR THE RETAIL SALE OF MID-RANGE WOMEN'S CLOTHING AND ACCESSORIES</w:t>
        <w:br/>
        <w:t>20. At the national level, the new entity will hold a market share of the overall women's ready-to-wear estimated at [0-5]% with a limited addition of market shares ([0-5]% corresponding to the acquired La City stores). The parties were unable to assess the market shares in the "mid-range" segment. However, the new entity will continue to face competition from numerous mid-range brands such as Caroll, Sinequanone, Kookaï, Naf Naf, 123, Etam, Esprit, Camaïeu, Jacqueline Riu…</w:t>
        <w:br/>
        <w:t>21. At the local level and prior to the operation, the Beaumanoir group held limited market shares (less than [0-5]% in 41 areas and never exceeding [5-10]%). The operation results in only a very slight strengthening of its position (less than [0-5]%) in each of the affected areas. Furthermore, the offer remains particularly fragmented in this sector.</w:t>
        <w:br/>
        <w:t>22. Regarding the retail sale of accessories, this activity represents only a small share of the respective turnover of the parties (approximately [5-10]% for Beaumanoir and less than [5-10]% for La City) and the combined market share of the parties will not exceed [0-5]%.</w:t>
        <w:br/>
        <w:t>23. The operation is therefore not likely to raise competition issues.</w:t>
        <w:br/>
        <w:t>DECIDES</w:t>
        <w:br/>
        <w:t>Sole Article: The operation notified under number 10-0188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