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https://www.autoritedelaconcurrence.fr/fr/decision-de-controle-des-concentrations/relative-lacquisition-des-societes-arpel-et-visama-par-itm</w:t>
      </w:r>
    </w:p>
    <w:p>
      <w:r>
        <w:t>Pages translated : 4</w:t>
      </w:r>
    </w:p>
    <w:p/>
    <w:p>
      <w:r>
        <w:rPr>
          <w:b/>
        </w:rPr>
        <w:t>[Pages 1–3]</w:t>
      </w:r>
    </w:p>
    <w:p>
      <w:r>
        <w:t xml:space="preserve">FRENCH REPUBLIC  </w:t>
        <w:br/>
        <w:t xml:space="preserve">Decision No. 13-DCC-129 of September 3, 2013  </w:t>
        <w:br/>
        <w:t xml:space="preserve">regarding the acquisition of the companies Arpel and Visama by  </w:t>
        <w:br/>
        <w:t>ITM Alimentaire Sud Est</w:t>
      </w:r>
    </w:p>
    <w:p>
      <w:r>
        <w:t xml:space="preserve">The Competition Authority,  </w:t>
        <w:br/>
        <w:t xml:space="preserve">Having regard to the notification file submitted in full to the merger service on August 5, 2013, regarding the acquisition of the companies Arpel and Visama by the company ITM Alimentaire Sud Est, materialized by a share transfer protocol signed on July 17, 2013;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Adopts the following decision:</w:t>
      </w:r>
    </w:p>
    <w:p>
      <w:r>
        <w:t xml:space="preserve">I. The companies concerned and the operation  </w:t>
        <w:br/>
        <w:t xml:space="preserve">1. The company ITM Entreprises (hereinafter "ITM"), 100% controlled by the civil company of Mousquetaires, itself held by 1,403 individuals known as "associated members," leads and animates the network of independent merchants known as the "Groupement des Mousquetaires." As a franchisor, ITM Entreprises' main activity is to animate a network of points of sale, both food and non-food, operated by independent merchants under the following brands: Intermarché, Ecomarché, Netto, Restaumarché, Poivre Rouge, Bricomarché, and Roady. This management is carried out notably through the signing and monitoring of brand contracts with the companies operating these points of sale. ITM Entreprises also provides its franchisees with various services for prospecting, consulting, training, etc. Finally, it offers franchisees the opportunity to benefit from advantageous supply conditions from its national and regional subsidiaries, as well as from external suppliers referenced outside the "Groupement des Mousquetaires."  </w:t>
        <w:br/>
        <w:t xml:space="preserve">2. The associates [X] control the company Arpel SA, which operates a retail business predominantly focused on food distribution with a surface area of 6,710 m² under the Intermarché brand located in Lunel (34) and owns companies operating a gas station and a laundromat in the same city. They also control, via the holding company Visama, the company Parel SAS, which operates a retail business predominantly focused on food distribution with a surface area of 650 m² under the Netto brand located in Lunel (34).  </w:t>
        <w:br/>
        <w:t xml:space="preserve">3. The notified operation consists of the acquisition by ITM Alimentaire Sud Est of the entire capital of the companies Arpel and Visama and their subsidiaries, with the exception of the company Ovide, which operates a laundromat in Lunel. As it results in the takeover of the companies Arpel and Visama by ITM Alimentaire Sud Est, the notified operation constitutes a concentration within the meaning of Article L. 430-1 of the Commercial Code.  </w:t>
        <w:br/>
        <w:t>4. The companies concerned operate several retail stores and together achieve a total worldwide turnover of more than 75 million euros (ITM: […] euros of worldwide turnover for the fiscal year 2012; target companies: […] euros of cumulative turnover for the fiscal year 2012). The companies concerned achieve in France in the retail sector a turnover exceeding 15 million euros (ITM: […] euros in France for the fiscal year 2011; the target companies achieve all of their turnover in France). Given these turnover figures, the operation does not have a community dimension. However, the control thresholds related to retail mentioned in point II of Article L. 430-2 of the Commercial Code are exceeded. The present operation is therefore subject to the provisions of Articles L. 430-3 and following of the Commercial Code relating to economic concentration.</w:t>
      </w:r>
    </w:p>
    <w:p>
      <w:r>
        <w:t xml:space="preserve">II. Delimitation of relevant markets  </w:t>
        <w:br/>
        <w:t xml:space="preserve">5. According to the consistent practice of national and community competition authorities, two categories of markets can be delineated in the food distribution sector. These are, on the one hand, the "downstream" markets, of a local dimension, which bring together retail companies and consumers for the sale of consumer goods and, on the other hand, the "upstream" markets for supplying retail companies with everyday consumer goods, of a national dimension.  </w:t>
        <w:br/>
        <w:t xml:space="preserve">A. DOWNSTREAM MARKETS OF DISTRIBUTION  </w:t>
        <w:br/>
        <w:t xml:space="preserve">1. SERVICE MARKETS  </w:t>
        <w:br/>
        <w:t xml:space="preserve">6. Regarding the retail sale of everyday consumer goods, both community and national competition authorities have distinguished six categories of commerce using several criteria, including store size, sales techniques, accessibility, the nature of the service provided, and the range of products offered: (i) hypermarkets, (ii) supermarkets, (iii) specialized commerce, (iv) small retail commerce, (v) large discounters, (vi) mail order sales.  </w:t>
        <w:br/>
        <w:t xml:space="preserve">7. Supermarkets are usually defined as stores predominantly focused on food with a legal sales area of less than 2,500 m² and greater than 400 m².  </w:t>
        <w:br/>
        <w:t xml:space="preserve">8. In this case, the target companies operate a retail outlet predominantly focused on food distribution with a surface area of 6,710 m² that falls into the category of hypermarkets and a retail outlet predominantly focused on food distribution with a surface area of 650 m² that falls into the category of supermarkets.  </w:t>
        <w:br/>
        <w:t xml:space="preserve">2. GEOGRAPHICAL DELIMITATION  </w:t>
        <w:br/>
        <w:t xml:space="preserve">9. In its recent decisions regarding operations involving hypermarkets or supermarkets, the Competition Authority has reiterated that, depending on the size of the stores concerned, the conditions of competition should be assessed in two different areas:  </w:t>
        <w:br/>
        <w:t xml:space="preserve">- a first market where the demand of consumers from a zone meets the supply of hypermarkets accessible to them within less than 30 minutes by car and which are, from their perspective, substitutable with each other;  </w:t>
        <w:br/>
        <w:t xml:space="preserve">- a second market where the demand of consumers meets the supply of supermarkets and equivalent forms of commerce located within less than 15 minutes of travel time by car. These latter forms of commerce may include, in addition to supermarkets, hypermarkets located near consumers and discount stores.  </w:t>
        <w:br/>
        <w:t xml:space="preserve">10. Other criteria may nevertheless be taken into account to assess the impact of a concentration on the competitive situation in retail distribution markets, which may lead to refining, in the specific case, the usual delimitations presented above.  </w:t>
        <w:br/>
        <w:t xml:space="preserve">11. In this case, the target stores are both located in Lunel, and the competitive analysis will therefore be conducted on the market including supermarkets, hypermarkets, and proximity stores and discounters located within a 15-minute radius around Lunel (34) and on the market including only hypermarkets located within a 30-minute radius around Lunel (34).  </w:t>
        <w:br/>
        <w:t xml:space="preserve">B. UPSTREAM SUPPLY MARKETS  </w:t>
        <w:br/>
        <w:t xml:space="preserve">12. Regarding supply markets, the European Commission has recognized the existence of national markets by major product groups, a delimitation followed by national authorities.  </w:t>
        <w:br/>
        <w:t>13. There is no need to challenge this delimitation in the context of the present operation.</w:t>
      </w:r>
    </w:p>
    <w:p>
      <w:r>
        <w:t xml:space="preserve">III. Competitive analysis  </w:t>
        <w:br/>
        <w:t xml:space="preserve">A. DOWNSTREAM MARKET OF FOOD DISTRIBUTION  </w:t>
        <w:br/>
        <w:t>14. In the market including supermarkets and equivalent forms of commerce located within a 15-minute driving radius around Lunel, the target stores will represent [30-40]% of the sales areas. In addition to the hypermarket and Netto targets, Intermarché operates a supermarket of 2,195 m² in this area, which represents [5-10]% of the sales areas. The market share of ITM following the operation will therefore rise to [40-</w:t>
      </w:r>
    </w:p>
    <w:p>
      <w:r>
        <w:rPr>
          <w:b/>
        </w:rPr>
        <w:t>[Pages 4–4]</w:t>
      </w:r>
    </w:p>
    <w:p>
      <w:r>
        <w:t>[40-50] %. ITM's competitors in this area are System U, which will hold a market share of [20-30] %, and Leclerc ([10-20] %), as well as Lidl ([5-10] %), Dia ([0-5] %), and Norma ([0-5] %).</w:t>
      </w:r>
    </w:p>
    <w:p>
      <w:r>
        <w:t>15. In the market comprising hypermarkets located within a 30-minute drive around Lunel, ITM will represent [10-20] % of the sales areas ([5-10] % for the target store). ITM's competitors in this area are the Carrefour group, which will hold a market share of [20-30] %, Auchan ([10-20] %), Système U ([10-20] %), Casino ([10-20] %), and Leclerc ([10-20] %).</w:t>
      </w:r>
    </w:p>
    <w:p>
      <w:r>
        <w:t>16. Consequently, the operation is not likely to harm competition in the relevant market.</w:t>
      </w:r>
    </w:p>
    <w:p>
      <w:r>
        <w:t>B. UPSTREAM SUPPLY MARKET</w:t>
      </w:r>
    </w:p>
    <w:p>
      <w:r>
        <w:t>17. Regarding the upstream supply markets, it should be noted that the operation is limited to two stores that will represent only a marginal part of the turnover generated by the ITM group in France. The acquisition is therefore not likely to significantly strengthen the purchasing power of the ITM group, across all products as well as by major product groups.</w:t>
      </w:r>
    </w:p>
    <w:p>
      <w:r>
        <w:t>18. Consequently, the operation is not likely to harm competition in the upstream distribution market.</w:t>
      </w:r>
    </w:p>
    <w:p>
      <w:r>
        <w:t>DECIDES</w:t>
      </w:r>
    </w:p>
    <w:p>
      <w:r>
        <w:t>Sole Article: The operation notified under number 13-139 is authorized.</w:t>
      </w:r>
    </w:p>
    <w:p>
      <w:r>
        <w:t>The Vice-President,</w:t>
        <w:br/>
        <w:t>Emmanuel Combe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