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https://www.autoritedelaconcurrence.fr/fr/decision-de-controle-des-concentrations/relative-lacquisition-des-societes-callian-distribution-et</w:t>
      </w:r>
    </w:p>
    <w:p>
      <w:r>
        <w:t>Pages translated : 5</w:t>
      </w:r>
    </w:p>
    <w:p/>
    <w:p>
      <w:r>
        <w:rPr>
          <w:b/>
        </w:rPr>
        <w:t>[Pages 1–3]</w:t>
      </w:r>
    </w:p>
    <w:p>
      <w:r>
        <w:t xml:space="preserve">FRENCH REPUBLIC  </w:t>
        <w:br/>
        <w:t xml:space="preserve">Decision No. 11-DCC-44 of March 21, 2011  </w:t>
        <w:br/>
        <w:t xml:space="preserve">regarding the acquisition of the companies Callian Distribution and Sainte Anne d’Evenos Distribution by a joint company created between the companies ED and Gescod Provence  </w:t>
        <w:br/>
        <w:t xml:space="preserve">The Competition Authority,  </w:t>
        <w:br/>
        <w:t xml:space="preserve">Having regard to the notification file sent to the merger service on January 28, 2011, declared complete on March 4, 2011, concerning the acquisition of the companies Callian Distribution and Sainte Anne d’Evenos Distribution by a joint company created between the companies ED and Gescod Provence, formalized by a memorandum of understanding dated November 12, 2010;  </w:t>
        <w:br/>
        <w:t xml:space="preserve">Having regard to the additional information provided by the parties during the investigation;  </w:t>
        <w:br/>
        <w:t xml:space="preserve">Having regard to Book IV of the Commercial Code relating to price and competition freedom, and in particular its Articles L.430-1 to L.430-7;  </w:t>
        <w:br/>
        <w:t xml:space="preserve">Adopts the following decision:  </w:t>
        <w:br/>
        <w:t xml:space="preserve">I. The companies concerned and the operation  </w:t>
        <w:br/>
        <w:t xml:space="preserve">1. The Carrefour group is active in food-dominant distribution. In France, it operates hypermarkets under the Carrefour and Champion brands and supermarkets under the Champion and Carrefour Market brands. It also operates convenience stores under the Carrefour City, Shopi, 8 à huit, Marché Plus, Sherpa, Proxi brands and discount stores under the Ed and Dia brands. The company ED, wholly owned by the Carrefour Group, is the parent company of the group's hard discount sector.  </w:t>
        <w:br/>
        <w:t>2. The company Gescod Provence is a simplified joint-stock company owned by the Caranta consortium (hereinafter "Cantara group"). In addition to Gescod Provence, the Cantara group controls companies active in the operation of supermarkets and hypermarkets under the Carrefour group brands.</w:t>
      </w:r>
    </w:p>
    <w:p>
      <w:r>
        <w:t xml:space="preserve">3. The companies Callian Distribution and Sainte Anne d’Evenos Distribution are companies in the process of being formed that will each operate a business under the "Dia" brand, respectively 993 m2 in Callian (83), and 963 m2 in Sainte Anne d’Evenos (83).  </w:t>
        <w:br/>
        <w:t xml:space="preserve">4. The notified operation consists of the acquisition of 100% of the capital of the companies Callian Distribution and Sainte Anne d’Evenos Distribution by a newly created holding company, which will be owned 50% by ED and 50% by Gescod Provence. As a result of the operation, Callian Distribution and Sainte Anne d’Evenos Distribution will therefore be jointly controlled by the Carrefour and Caranta groups, through their joint subsidiary. As it results in a joint control of the companies Callian Distribution and Sainte Anne d’Evenos Distribution by the Carrefour and Caranta groups, the notified operation constitutes a concentration within the meaning of Article L.430-1 of the Commercial Code.  </w:t>
        <w:br/>
        <w:t xml:space="preserve">5. The companies concerned operate retail stores and together achieve a total worldwide turnover of more than 75 million euros (Carrefour group: 85.9 billion euros for the fiscal year ending December 31, 2009; Cantara group: 81.9 million euros for the same year). Each achieves, in France in the retail sector, a turnover exceeding 15 million euros (Carrefour group: 34.2 billion euros for the fiscal year ending December 31, 2009; Cantara group: 81.9 million euros for the same year). Given these turnover figures, the operation does not have a community dimension. On the other hand, the control thresholds mentioned in point II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6. According to the consistent practice of national and community competition authorities1, two categories of market can be delineated in the food-dominant distribution sector2. These are, on the one hand, the "downstream" markets, of local dimension, which bring together retail trade companies and consumers for the sale of consumer goods and, on the other hand, the "upstream" markets for supplying retail trade companies with everyday consumer goods, of national dimension.  </w:t>
        <w:br/>
        <w:t xml:space="preserve">1 See in particular the decisions of the Commission M.946 Intermarché/Spar of June 30, 1997, M.991 Promodès/Casino of October 30, 1997, and M.1684 Carrefour/Promodès of January 25, 2000. See also the opinions of the Competition Council No. 97-A-14 of July 1, 1997, regarding the participation of Carrefour in the capital of Grands Magasins B (GMB), No. 98-A-06 of May 5, 1998, regarding the acquisition by Casino-Guichard-Perrachon of TLC Béatrice Holdings France SA, and No. 00-A-06 of May 3, 2000, regarding the acquisition by Carrefour of Promodès.  </w:t>
        <w:br/>
        <w:t>2 Decisions of the Commission M.1684 Carrefour/Promodès of January 25, 2000, and M.2115 Carrefour/GB of September 28, 2000. See also the letter from the Minister C2005-98 of November 10, 2005, to the advisors of the Carrefour group, regarding a concentration in the food retail sector.</w:t>
      </w:r>
    </w:p>
    <w:p>
      <w:r>
        <w:t xml:space="preserve">A. DOWNSTREAM DISTRIBUTION MARKETS  </w:t>
        <w:br/>
        <w:t xml:space="preserve">1. SERVICE MARKETS  </w:t>
        <w:br/>
        <w:t xml:space="preserve">7.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discount stores, (vi) mail-order sales.  </w:t>
        <w:br/>
        <w:t xml:space="preserve">8. Hypermarkets are usually defined as stores predominantly selling food with a legal sales area equal to or greater than 2,500 m². Supermarkets, on the other hand, are usually considered to be stores predominantly selling food with a sales area of less than 2,500 m² and greater than 400 m². These thresholds must nevertheless be used with caution and may be adapted to the specific case when stores have a surface area close to a threshold, either below or above, and may find themselves in direct competition in practice4.  </w:t>
        <w:br/>
        <w:t xml:space="preserve">9. In this case, the stores concerned by the operation will occupy a respective sales area of 993 and 963 m², thus falling into the category of supermarkets.  </w:t>
        <w:br/>
        <w:t xml:space="preserve">2. GEOGRAPHICAL DELIMITATION  </w:t>
        <w:br/>
        <w:t xml:space="preserve">10. In its recent decisions regarding operations concerning hypermarkets or supermarkets5, the Competition Authority has recalled that depending on the size of the stores concerned, the conditions of competition should be assessed in two different areas:  </w:t>
        <w:br/>
        <w:t xml:space="preserve">- a first market where the demand from consumers in an area meets the supply of hypermarkets to which they have access within less than 30 minutes of driving and which are, from their point of view, substitutable for each other;  </w:t>
        <w:br/>
        <w:t xml:space="preserve">- a second market where the demand from consumers meets the supply of supermarkets and equivalent forms of commerce located within less than 15 minutes of driving time. These latter forms of commerce may  </w:t>
        <w:br/>
        <w:t xml:space="preserve">3 Letters from the Minister C2005-98 of November 10, 2005, to the advisors of the Carrefour group, regarding a concentration in the food retail sector; C2006-15 of April 14, 2006, regarding a concentration in the food retail sector; C2007-154 of December 3, 2007, to the council of the Système U Centrale Régionale Sud, regarding a concentration in the food retail sector; C2007-172 of February 13, 2008, to the President of the Carrefour group, regarding a concentration in the food retail sector; C2008-32 of July 9, 2008, to the President of Amidis &amp; Compagnie, regarding a concentration in the food retail sector.  </w:t>
        <w:br/>
        <w:t xml:space="preserve">4 See in particular decisions No. 09-DCC-04 of April 29, 2009, regarding the acquisition of control of Noukat by Amidis &amp; Cie SAS, a subsidiary of the Carrefour group; No. 09-DCC-27 of July 24, 2009, regarding the exclusive control of FRG by the Carrefour group, and the opinion of the Competition Council No. 00-A-06 of May 3, 2005, regarding the acquisition by Carrefour of Promodès.  </w:t>
        <w:br/>
        <w:t>5 See in particular decisions No. 09-DCC-04 of April 29, 2009, regarding the acquisition of control of Noukat by Amidis &amp; Cie SAS, a subsidiary of the Carrefour group; No. 09-DCC-06 of May 20, 2009, regarding the exclusive control of Evolis SAS by ITM Entreprises; No. 09-DCC-10 of May 28, 2009, regarding the exclusive control of Frandis by Financière Perdis; No. 09-DCC-24 of July 23, 2009, regarding the exclusive control of Floritine by CSF, a subsidiary of the Carrefour group.</w:t>
      </w:r>
    </w:p>
    <w:p>
      <w:r>
        <w:rPr>
          <w:b/>
        </w:rPr>
        <w:t>[Pages 4–5]</w:t>
      </w:r>
    </w:p>
    <w:p>
      <w:r>
        <w:t xml:space="preserve">include, in addition to supermarkets, hypermarkets located near consumers and discount stores.  </w:t>
        <w:br/>
        <w:t xml:space="preserve">11. Other criteria may nevertheless be considered to assess the impact of a concentration on the competitive situation in retail distribution markets, which may lead to refining the usual delineations.  </w:t>
        <w:br/>
        <w:t xml:space="preserve">B. UPSTREAM SUPPLY MARKETS  </w:t>
        <w:br/>
        <w:t xml:space="preserve">12. Regarding supply markets, the European Commission6 has identified the existence of national markets by major product groups, a delineation followed by national authorities7.  </w:t>
        <w:br/>
        <w:t xml:space="preserve">13. There is no reason to challenge this delineation in the context of the present operation.  </w:t>
        <w:br/>
        <w:t xml:space="preserve">III. Competitive Analysis  </w:t>
        <w:br/>
        <w:t xml:space="preserve">A. DOWNSTREAM DISTRIBUTION MARKETS  </w:t>
        <w:br/>
        <w:t xml:space="preserve">14. The creation of a joint venture may lead to horizontal effects when the parent companies are simultaneously present in the same market, transferring all or part of this activity to the subsidiary. This is not the case here since Carrefour and Gescod Provence do not transfer any activity to Callian Distribution and Sainte Anne d’Evenos Distribution, which will each operate a business in the process of being formed under the "Dia" brand.  </w:t>
        <w:br/>
        <w:t xml:space="preserve">15. Furthermore, the creation of a joint venture is likely to encourage the parent companies to coordinate their activities in the markets where they remain simultaneously present. In this case, however, the three supermarkets operated under the Carrefour Market brand by the Caranta group have already been partially acquired by the Carrefour group, and the notified operation cannot have the effect of strengthening coordination between the two groups in the management of these points of sale.  </w:t>
        <w:br/>
        <w:t xml:space="preserve">B. UPSTREAM SUPPLY MARKETS  </w:t>
        <w:br/>
        <w:t xml:space="preserve">16. Regarding upstream supply markets, the operation, which only concerns two stores, is not likely to significantly strengthen the purchasing power of the Carrefour and Caranta groups, across all products as well as by major product groups.  </w:t>
        <w:br/>
        <w:t xml:space="preserve">6 See the Commission decisions M.1684 Carrefour/Promodès of January 25, 2000 and M.2115 Carrefour/GB of September 28, 2000.  </w:t>
        <w:br/>
        <w:t xml:space="preserve">7 See in particular the decisions C2007-172 Carrefour Plane/Plamidis of February 13, 2008, C2006-15 Amidis/Hamon of April 14, 2006, 2005-98 Carrefour/Penny market of November 19, 2005.  </w:t>
        <w:br/>
        <w:t xml:space="preserve">17. Consequently, the operation is not likely to harm competition both in the downstream market and in the upstream supply market.  </w:t>
        <w:br/>
        <w:t xml:space="preserve">DECIDES  </w:t>
        <w:br/>
        <w:t xml:space="preserve">Sole Article: The operation notified under number 11-0015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