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https://www.autoritedelaconcurrence.fr/fr/decision-de-controle-des-concentrations/relative-lacquisition-des-societes-chamer-damaps-mapic</w:t>
      </w:r>
    </w:p>
    <w:p>
      <w:r>
        <w:t>Pages translated : 5</w:t>
      </w:r>
    </w:p>
    <w:p/>
    <w:p>
      <w:r>
        <w:rPr>
          <w:b/>
        </w:rPr>
        <w:t>[Pages 1–3]</w:t>
      </w:r>
    </w:p>
    <w:p>
      <w:r>
        <w:t>FRENCH REPUBLIC</w:t>
        <w:br/>
        <w:t>Decision No. 11-DCC-64 of May 13, 2011</w:t>
        <w:br/>
        <w:t>regarding the acquisition of the companies Chamer, Damap’s, Mapic, Matal, and Pial by the company Distribution Casino France</w:t>
        <w:br/>
        <w:t>The Competition Authority,</w:t>
        <w:br/>
        <w:t>Having regard to the notification file submitted in full to the merger service on April 8, 2011, regarding the acquisition of the companies Chamer, Damap’s, Mapic, Matal, and Pial by the company Distribution Casino France, formalized by a transfer protocol dated March 29, 2011;</w:t>
        <w:br/>
        <w:t>Having regard to the additional information provided by the parties during the investigation;</w:t>
        <w:br/>
        <w:t>Having regard to Book IV of the Commercial Code relating to the freedom of prices and competition, and in particular its Articles L.430-1 to L.430-7;</w:t>
        <w:br/>
        <w:t>Adopts the following decision:</w:t>
        <w:br/>
        <w:t>I. The companies concerned and the operation</w:t>
        <w:br/>
        <w:t>1. The Casino group manages a network of over 9,300 stores in France (hypermarkets, supermarkets, convenience stores, discount stores) under the brands Casino, Franprix, Spar, Vival, Naturalia, and Leader Price. Casino also exercises joint control with the Galeries Lafayette group over the Monoprix group1. Furthermore, it is present in the online distribution sector of non-food products with the brand Cdiscount. The Casino group belongs to the Euris group, which is itself controlled by Mr. Jean-Charles Naouri.</w:t>
        <w:br/>
        <w:t>2. The company Distribution Casino France (hereinafter "DCF"), a subsidiary of the Casino group, manages all hypermarket, supermarket, and convenience store activities in France.</w:t>
        <w:br/>
        <w:t>3. Damap’s, Mapic, and Matal are French companies that operate three food-dominant retail businesses, respectively under the brands Géant Casino, Hyper Casino, and Casino Supermarket located in the towns of Saint-Pair-sur-Mer, Villedieu-les-Poêles, and Donville-les-Bains (50). The real estate complexes in which the businesses of Damap’s and Mapic are operated are respectively owned by the companies Chamer and Pial. All of these companies are controlled by members of the Desprez family.</w:t>
        <w:br/>
        <w:t>4. The operation involves the acquisition of 100% of the capital of the companies Chamber, Damap’s, Mapic, Matal, and Pial by DCF from the members of the Desprez family. Following the operation, the target companies will therefore be exclusively controlled by the Casino group. As it results in the exclusive control of the companies Chamber, Damap’s, Mapic, Matal, and Pial by the Casino group, the notified operation constitutes a concentration within the meaning of Article L.430-1 of the Commercial Code.</w:t>
        <w:br/>
        <w:t>5. The companies concerned together achieve a total worldwide turnover of more than 75 million euros (Casino group: 29.078 billion euros for the fiscal year ending December 31, 2009; target companies: […] million euros for the same year). Each achieves, in France, a turnover exceeding 15 million euros (Casino group: 17.956 billion euros for the fiscal year ending December 31, 2009; target companies: […] million euros for the same year). Given these turnover figures, the operation does not have a community dimension. However, the control thresholds mentioned in point II of Article L. 430-2 of the Commercial Code relating to retail trade are exceeded. The present operation is therefore subject to the provisions of Articles L. 430-3 and following of the Commercial Code relating to economic concentration.</w:t>
        <w:br/>
        <w:t>II. Delimitation of the relevant markets</w:t>
        <w:br/>
        <w:t>6. According to the consistent practice of national and community competition authorities, two categories of market can be delineated in the food-dominant retail sector2. These are, on the one hand, the "downstream" markets, of local dimension, which bring together retail companies and consumers for the sale of consumer goods, and, on the other hand, the "upstream" markets for supplying retail companies with everyday consumer goods, of national dimension.</w:t>
        <w:br/>
        <w:t>A. DOWNSTREAM DISTRIBUTION MARKETS</w:t>
        <w:br/>
        <w:t>1. SERVICE MARKETS</w:t>
        <w:br/>
        <w:t>7. Regarding the retail sale of everyday consumer goods, competition authorities, both community and national3, have distinguished six categories of trade using several criteria, including store size, sales techniques, their accessibility, the nature of the service provided, and the range of products offered: (i) hypermarkets, (ii) supermarkets, (iii) specialized retail, (iv) small retail businesses, (v) discount stores, (vi) mail-order sales.</w:t>
        <w:br/>
        <w:t>8. Hypermarkets are usually defined as food-dominant stores with a legal sales area equal to or greater than 2,500 m². Supermarkets, on the other hand, are usually considered as food-dominant stores with a sales area less than 2,500 m² and greater than 400 m². These thresholds should, however, be used with caution and may be adapted to the specific case when stores have an area close to a threshold, either below or above, and may be found in direct competition in practice.</w:t>
        <w:br/>
        <w:t>9. In this case, the stores in Saint-Pair-sur-Mer and Villedieu-les-Poêles currently occupy respective sales areas of 4,340 m² and 2,700 m² and therefore fall into the category of hypermarkets. The store in Donville-les-Bains occupies a sales area of 1,420 m², thus falling into the category of supermarkets.</w:t>
        <w:br/>
        <w:t>2. GEOGRAPHICAL DELIMITATION</w:t>
        <w:br/>
        <w:t>10. In its recent decisions regarding operations involving hypermarkets or supermarkets4, the Competition Authority has recalled that depending on the size of the stores concerned, the conditions of competition should be assessed in two different areas:</w:t>
        <w:br/>
        <w:t>- a first market where the demand from consumers in an area meets the supply of hypermarkets that they can access within less than 30 minutes of travel by car and which are, from their point of view, substitutable for each other;</w:t>
        <w:br/>
        <w:t>- a second market where the demand from consumers meets the supply of supermarkets and equivalent forms of trade located within less than 15 minutes of travel time by car. These latter forms of trade may include, in addition to supermarkets, hypermarkets located close to consumers and discount stores.</w:t>
        <w:br/>
        <w:t>11. Other criteria may, however, be taken into account to assess the impact of a concentration on the competitive situation in retail distribution markets, which may lead to refining the usual delimitations.</w:t>
        <w:br/>
        <w:t>12. In this case, the stores in Saint-Pair-sur-Mer and Villedieu-les-Poêles falling into the category of hypermarkets, the competitive analysis will be conducted on two markets, one including hypermarkets located within a 30-minute radius around their location and the other including all hypermarkets, supermarkets, and discount stores located within a 15-minute catchment area around their location. The store in Donville-les-Bains falling into the category of supermarkets, the competitive analysis will be conducted on the market including all hypermarkets, supermarkets, and discount stores located within a 15-minute catchment area around Donville-les-Bains.</w:t>
        <w:br/>
        <w:t>4 See in particular decisions No. 09-DCC-04 of April 29, 2009, regarding the acquisition of the company Noukat by the company d’Exploitation Amidis &amp; Cie SAS, a subsidiary of the Carrefour group; No. 09-DCC-06 of May 20, 2009, regarding the exclusive control of the company Evolis SAS by the company ITM Entreprises; No. 09-DCC-10 of May 28, 2009, regarding the exclusive control of the company Frandis by the company Financière Perdis; No. 09-DCC-24 of July 23, 2009, regarding the exclusive control of the company Floritine by the company CSF, a subsidiary of the Carrefour group.</w:t>
      </w:r>
    </w:p>
    <w:p>
      <w:r>
        <w:rPr>
          <w:b/>
        </w:rPr>
        <w:t>[Pages 4–5]</w:t>
      </w:r>
    </w:p>
    <w:p>
      <w:r>
        <w:t xml:space="preserve">B. UPSTREAM SUPPLY MARKETS  </w:t>
        <w:br/>
        <w:t xml:space="preserve">13. Regarding the supply markets, the European Commission5 has identified the existence of markets of national dimension by major product groups, a delineation followed by national authorities6.  </w:t>
        <w:br/>
        <w:t xml:space="preserve">14. There is no reason to challenge this delineation in the context of the present operation.  </w:t>
        <w:br/>
        <w:t xml:space="preserve">III. Competitive Analysis  </w:t>
        <w:br/>
        <w:t xml:space="preserve">A. DOWNSTREAM DISTRIBUTION MARKETS  </w:t>
        <w:br/>
        <w:t xml:space="preserve">15. In the market comprising hypermarkets located within a 30-minute drive zone around Saint-Pair-sur-Mer, the Géant Casino operated by the company Damap’s represents [20-30]% of the sales area. This store faces competition from hypermarkets operated under the Carrefour ([30-40]%) and Leclerc ([40-50]%) brands.  </w:t>
        <w:br/>
        <w:t xml:space="preserve">16. Similarly, in the market comprising all hypermarkets, supermarkets, and discount stores located within a 15-minute radius around Saint-Pair-sur-Mer, the Géant Casino operated by the company Damap’s represents [20-30]% of the total sales area. The Casino group also owns two supermarkets located in localities within a 15-minute radius of the concerned store, covering a total of [30-40]% of the sales area in this zone. These stores face competition from stores operated under the Leclerc ([20-30]%), Système U ([10-20]%), Lidl ([5-10]%), Le Mutant ([0-5]%), Intermarché ([0-5]%), Carrefour ([0-5]%), and Aldi ([0-5]%) brands.  </w:t>
        <w:br/>
        <w:t xml:space="preserve">17. In the market comprising hypermarkets located within a 30-minute drive zone around Villedieu-les-Poêles, the Hyper Casino operated by the company Mapic represents [10-20]% of the sales area. This store faces competition from hypermarkets operated under the Carrefour ([50-60]%) and Leclerc ([20-30]%) brands.  </w:t>
        <w:br/>
        <w:t xml:space="preserve">18. Similarly, in the market comprising all hypermarkets, supermarkets, and discount stores located within a 15-minute radius around Villedieu-les-Poêles, the Hyper Casino operated by the company Mapic represents [40-50]% of the total sales area. However, it faces competition from stores operated under the Système U ([10-20]%), Lidl ([10-20]%), Intermarché ([10-20]%), Carrefour ([10-20]%), and Le Mutant ([5-10]%) brands.  </w:t>
        <w:br/>
        <w:t xml:space="preserve">19. In the market comprising all hypermarkets, supermarkets, and discount stores located within a 15-minute drive zone around Donville-les-Bains, the Casino Supermarket operated by the company Matal represents [5-10]% of the total sales area. The Casino group also owns two stores, including one hypermarket, located in localities within a 15-minute radius of the concerned store, covering a total of [30-40]% of the sales area in this zone. These stores face competition from stores operated under the Leclerc ([20-30]%), Système U ([10-20]%), Lidl ([5-10]%), Le Mutant ([0-5]%), Intermarché ([0-5]%), Carrefour ([0-5]%), and Aldi ([0-5]%) brands.  </w:t>
        <w:br/>
        <w:t xml:space="preserve">20. The stores of the Casino group continue to face competition in the catchment areas affected by the operation from several stores affiliated with major food distribution groups. Consequently, the operation is not likely to harm competition in the downstream markets.  </w:t>
        <w:br/>
        <w:t xml:space="preserve">B. UPSTREAM SUPPLY MARKETS  </w:t>
        <w:br/>
        <w:t xml:space="preserve">21. Regarding the upstream supply markets, the operation, which only concerns three stores, is not likely to significantly strengthen the purchasing power of the Casino group, across all products as well as by major product groups.  </w:t>
        <w:br/>
        <w:t xml:space="preserve">22. Therefore, the operation is not likely to harm competition in either the downstream market or the upstream supply market.  </w:t>
        <w:br/>
        <w:t xml:space="preserve">DECIDES  </w:t>
        <w:br/>
        <w:t xml:space="preserve">Single Article: The operation notified under number 11-0066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