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https://www.autoritedelaconcurrence.fr/fr/decision-de-controle-des-concentrations/relative-lacquisition-des-societes-dlsa-automobiles-et</w:t>
      </w:r>
    </w:p>
    <w:p>
      <w:r>
        <w:t>Pages translated : 2</w:t>
      </w:r>
    </w:p>
    <w:p/>
    <w:p>
      <w:r>
        <w:rPr>
          <w:b/>
        </w:rPr>
        <w:t>[Pages 1–2]</w:t>
      </w:r>
    </w:p>
    <w:p>
      <w:r>
        <w:t xml:space="preserve">FRENCH REPUBLIC  </w:t>
        <w:br/>
        <w:t xml:space="preserve">Decision No. 12-DCC-71 of May 24, 2012  </w:t>
        <w:br/>
        <w:t xml:space="preserve">regarding the acquisition of DLSA Automobiles and  </w:t>
        <w:br/>
        <w:t xml:space="preserve">Espace RN 14 by the company DMHA  </w:t>
        <w:br/>
        <w:t xml:space="preserve">The Competition Authority,  </w:t>
        <w:br/>
        <w:t xml:space="preserve">Having regard to the notification file sent to the mergers department on March 21, 2012, and declared complete on May 3, 2012, concerning the acquisition of DLSA Automobiles and Espace RN 14 by the company DMHA, formalized by a promise of sale dated February 21, 2012;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company DMHA, in the process of being established, is jointly held by Automotiv’ Performances, active in business management, and by Ranj Invest, active in automobile distribution. The notified operation consists of the exclusive control of the companies DLSA Automobiles and Espace RN 14, operating car dealerships of the brands Opel, Chevrolet, and Kia in the cities of Epinay (93), Argenteuil (95), and Cergy (95). It constitutes a concentration operation within the meaning of Article L. 430-1 of the Commercial Code. Given the turnover generated by the companies concerned, the operation does not have a community dimension.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12-049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