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https://www.autoritedelaconcurrence.fr/fr/decision-de-controle-des-concentrations/relative-lacquisition-des-societes-eurodough-sas-et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11-DCC-185 of December 19, 2011  </w:t>
        <w:br/>
        <w:t xml:space="preserve">regarding the acquisition of the companies EuroDough SAS and EuroDough  </w:t>
        <w:br/>
        <w:t xml:space="preserve">Italia Srl as well as assets of the company Sara Lee Germany GmbH by  </w:t>
        <w:br/>
        <w:t xml:space="preserve">the company Sagard SAS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28, 2011, concerning the acquisition of exclusive control of the companies EuroDough SAS and  </w:t>
        <w:br/>
        <w:t xml:space="preserve">EuroDough Italia Srl as well as assets of the company Sara Lee Germany GmbH by the company  </w:t>
        <w:br/>
        <w:t xml:space="preserve">Sagard SAS;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of exclusive control of the EuroDough Group, active in  </w:t>
        <w:br/>
        <w:t xml:space="preserve">the development, production, and distribution of refrigerated household pasta, by the  </w:t>
        <w:br/>
        <w:t xml:space="preserve">investment funds Sagard II A and Sagard II B, managed and controlled by the company Sagard  </w:t>
        <w:br/>
        <w:t xml:space="preserve">SAS whose purpose is to manage investment funds. It constitutes a concentration operation within the meaning of Article L. 430-1 of the Commercial Code. Given the turnover achieved by the concerned companies, the operation does not have a community dimension. On the other hand, the control thresholds related to concentration operations mentioned in point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11-0218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