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https://www.autoritedelaconcurrence.fr/fr/decision-de-controle-des-concentrations/relative-lacquisition-des-societes-financiere-riu-riu</w:t>
      </w:r>
    </w:p>
    <w:p>
      <w:r>
        <w:t>Pages translated : 5</w:t>
      </w:r>
    </w:p>
    <w:p/>
    <w:p>
      <w:r>
        <w:rPr>
          <w:b/>
        </w:rPr>
        <w:t>[Pages 1–3]</w:t>
      </w:r>
    </w:p>
    <w:p>
      <w:r>
        <w:t xml:space="preserve">FRENCH REPUBLIC  </w:t>
        <w:br/>
        <w:t xml:space="preserve">Decision No. 13-DCC-77 of July 4, 2013  </w:t>
        <w:br/>
        <w:t>regarding the acquisition of the companies Financière Riu, Riu-Aublet et Compagnie and Jacqueline Riu Polska by the Société Immobilière et Mobilière de Montagny</w:t>
      </w:r>
    </w:p>
    <w:p>
      <w:r>
        <w:t xml:space="preserve">The Competition Authority,  </w:t>
        <w:br/>
        <w:t xml:space="preserve">Having regard to the notification file submitted in full to the merger service on June 7, 2013, regarding the acquisition of the companies Financière Riu, Riu-Aublet et Compagnie and Jacqueline Riu Polska by the Société Immobilière et Mobilière de Montagny, formalized by a purchase promise for the acquisition of the Riu Aublet group dated April 30, 2013, and by a share transfer protocol of Riu-Aublet dated June 5, 2013;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Société Immobilière et Mobilière de Montigny (hereinafter "SIMM"), owned by the Deveaux family, is the parent company of Armand Thiery SAS (hereinafter "Armand Thiery") of which it holds 99.99% of the capital. Armand Thiery and its subsidiaries design and distribute clothing and accessories for men and women. They operate a network of 317 stores under the Armand Thiery and Toscane brands: 307 in France, including 306 branches and one franchise (located in Gap), 1 in the Principality of Monaco, 8 in Belgium, and 1 in Luxembourg. The Toscane brand is exclusively aimed at women who wear sizes 44 to 52.  </w:t>
        <w:br/>
        <w:t>2. The limited liability company Financière Riu is the holding company of the Riu family, which holds 94.54% of its share capital and voting rights, the remainder being held by the company Jacqueline Riu Polska. The Riu family also controls, directly and via Financière Riu, the company Riu Aublet. The latter controls the company Jacqueline Riu Polska.</w:t>
      </w:r>
    </w:p>
    <w:p>
      <w:r>
        <w:t xml:space="preserve">3. Riu Aublet is active in the sector of marketing ready-to-wear clothing and fashion accessories under the brand Jacqueline Riu, of which it is the owner. The Jacqueline Riu group also distributes shoes. It has a network of 246 stores in four countries:  </w:t>
        <w:br/>
        <w:t xml:space="preserve">- 201 in France, including 169 branches, 28 affiliates, and 4 corners;  </w:t>
        <w:br/>
        <w:t xml:space="preserve">- 30 branches in Poland, through the subsidiary Jacqueline Riu Polska;  </w:t>
        <w:br/>
        <w:t xml:space="preserve">- 1 affiliate in Belgium;  </w:t>
        <w:br/>
        <w:t xml:space="preserve">- 14 franchises in Saudi Arabia.  </w:t>
        <w:br/>
        <w:t xml:space="preserve">4. Under the terms of a purchase promise dated April 30, 2013, and the share transfer protocol dated June 5, 2013, the operation consists of the acquisition by SIMM from individuals who are members of the Riu family, of 45.99% of the capital of the company Riu Aublet et Compagnie and 67.21% of the capital of the company Financière Riu, which itself holds 34.92% of the capital of Riu Aublet. Following the operation, SIMM will therefore hold 80.91% of the capital of Riu Aublet and 67.21% of the capital of Financière Riu. As it results in the exclusive control of the Jacqueline Riu group by SIMM, the notified operation constitutes a concentration within the meaning of Article L. 430-1 of the Commercial Code.  </w:t>
        <w:br/>
        <w:t>5. The concerned companies operate retail stores and together achieve a total global turnover of more than 75 million euros (SIMM: 431.7 million euros for the fiscal year ending December 31, 2012; Jacqueline Riu group: 118.3 million euros for the fiscal year ending December 31, 2012). Each achieves, in France, in the retail sector, a turnover exceeding 15 million euros (SIMM: 419.2 million for the fiscal year ending December 31, 2012; Jacqueline Riu group: 109.4 million euros for the fiscal year ending December 31, 2012). Given the turnover of the concerned companies, the operation does not have a community dimension. However, the control thresholds mentioned in point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6. The parties to the operation are simultaneously active in the sector of women's ready-to-wear sales. They also sell accessories accompanying their ready-to-wear collections.</w:t>
      </w:r>
    </w:p>
    <w:p>
      <w:r>
        <w:t xml:space="preserve">A. DELIMITATION OF PRODUCT MARKETS  </w:t>
        <w:br/>
        <w:t xml:space="preserve">7. In the sector of clothing and accessories sales, decision-making practice distinguishes an upstream market for the supply of clothing and accessories and a downstream market for retail sales. In this case, the parties to the operation are simultaneously present in the market for the supply of clothing and accessories as buyers and in the downstream market for the retail sale of clothing and accessories.  </w:t>
        <w:br/>
        <w:t xml:space="preserve">8. Regarding the retail sale of clothing and accessories in stores, decision-making practice distinguishes (i) by gender (men, women, children) (ii) by distribution channel (specialty store, large specialized stores, large food stores) and (iii) by range (low, medium, high-end). In this case, the parties are simultaneously active in the market for the sale in specialty stores of mid-range women's clothing and fashion accessories.  </w:t>
        <w:br/>
        <w:t xml:space="preserve">9. Furthermore, decision-making practice has considered a distinction between in-store sales and distance sales, all distance sales channels combined. In this case, however, online sales represented, in 2012, [0-5]% of Armand Thiery's turnover and [0-5]% of Riu Aublet's turnover.  </w:t>
        <w:br/>
        <w:t>10. The question of the exact delimitation of the markets can, however, be left open insofar as the conclusions of the competitive analysis remain unchanged.</w:t>
      </w:r>
    </w:p>
    <w:p>
      <w:r>
        <w:t xml:space="preserve">B. DELIMITATION OF GEOGRAPHIC MARKETS  </w:t>
        <w:br/>
        <w:t xml:space="preserve">11. According to previous decision-making practice, the market for the supply of clothing and accessories is of a global size.  </w:t>
        <w:br/>
        <w:t xml:space="preserve">12. In contrast, regarding the retail distribution of clothing and accessories, competition occurs between points of sale in catchment areas. Two criteria have been used to delimit these areas:  </w:t>
        <w:br/>
        <w:t xml:space="preserve">- on the one hand, from the consumers' perspective, there are as many markets as there are cities where retailers likely to sell these items are located, each of these markets corresponding to the commercial attraction area where these types of clothing and accessories can generally be purchased;  </w:t>
        <w:br/>
        <w:t xml:space="preserve">1 See, for example, decisions C2008-16 / Letter from the Minister of Economy, Industry and Employment dated April 30, 2008, to the advisors of the company Vivarte, regarding a concentration in the clothing and sports shoe sector, published in BOCCRF No. 5 bis of June 19, 2008, C2007-28 / Letter from the Minister of Economy, Finance and Industry dated April 20, 2007, to the advisors of the company Vivarte, regarding a concentration in the clothing sector, published in BOCCRF No. 6 bis of June 28, 2007.  </w:t>
        <w:br/>
        <w:t xml:space="preserve">2 See decision C2005-129 / Letter from the Minister of Economy, Finance and Industry dated January 31, 2006, to the advisors of the company Glam regarding a concentration in the ready-to-wear sector, published in BOCCRF No. 6 of June 21, 2006.  </w:t>
        <w:br/>
        <w:t xml:space="preserve">3 See the Letter from the Minister of Economy, Finance and Industry dated July 24, 2003, to the advisors of the company Vetir SA regarding a concentration in the clothing distribution sector published in BOCCRF No. 2004-01. In this decision, the offer of hypermarkets was estimated to be substitutable for that of supermarkets. See also the decisions of the Competition Authority No. 10-DCC-86 of August 4, 2010, regarding the exclusive control of the company Aster-Mod by the company Verywear, No. 10-DCC-159 of November 12, 2010, regarding the control of the company Comptoir Français de la Mode by the company Du Pareil au Même, and No. 10-DCC-139 of October 27, 2010, regarding the joint control of Maje, Sandro, Claudie Pierlot, and HF Biousse by L Capital and Florac.  </w:t>
        <w:br/>
        <w:t xml:space="preserve">4 Letter from the Minister of Economy, Finance and Industry dated July 24, 2003, cited above.  </w:t>
        <w:br/>
        <w:t xml:space="preserve">5 Decision of the Competition Authority No. 10-DCC-77 of July 9, 2010, regarding the exclusive control of the company Afibel SAS by the company Damartex SA.  </w:t>
        <w:br/>
        <w:t xml:space="preserve">6 See the decisions of the Minister C2008-16, C2007-28, and C2007-43 cited above.  </w:t>
        <w:br/>
        <w:t>7 See decisions C2007-28, No. 10-DCC-139, and No. 10-DCC-159 cited above.</w:t>
      </w:r>
    </w:p>
    <w:p>
      <w:r>
        <w:rPr>
          <w:b/>
        </w:rPr>
        <w:t>[Pages 4–5]</w:t>
      </w:r>
    </w:p>
    <w:p>
      <w:r>
        <w:t>- On the other hand, the relevant geographic market would correspond, for hypermarkets (GSA) and supermarkets (GSS), to a catchment area within a 20-minute drive. This trade area is also considered for stores located in shopping centers adjacent to GSS or GSA.</w:t>
      </w:r>
    </w:p>
    <w:p>
      <w:r>
        <w:t>13. Furthermore, the Authority noted the growing influence in this sector of specialized retail chains, consisting of networks of sales outlets under a common brand, operated directly, through franchising, or as purchasing groups, and present across the entire national territory, or even in many countries. It thus considered analyzing operations concerning this type of activities in at least national markets.</w:t>
      </w:r>
    </w:p>
    <w:p>
      <w:r>
        <w:t>14. In this case, however, this question can be left open, as the conclusions of the competitive analysis remain unchanged regardless of the definition adopted.</w:t>
      </w:r>
    </w:p>
    <w:p>
      <w:r>
        <w:t>15. The takeover of the stores under the brand Jacqueline Riu results in overlaps in activity in 102 cities across the national territory.</w:t>
      </w:r>
    </w:p>
    <w:p>
      <w:r>
        <w:t>III. Competitive Analysis</w:t>
      </w:r>
    </w:p>
    <w:p>
      <w:r>
        <w:t>A. ON THE UPSTREAM MARKETS FOR THE SUPPLY OF CLOTHING AND ACCESSORIES</w:t>
      </w:r>
    </w:p>
    <w:p>
      <w:r>
        <w:t>16. The notifying party was not able to accurately assess the purchasing shares of the parties in the global markets for the supply of clothing and accessories. However, it estimates that the parties would represent a share significantly below [0-5]% of purchases in the global clothing supply market.</w:t>
      </w:r>
    </w:p>
    <w:p>
      <w:r>
        <w:t>17. The notifying party was also unable to estimate the purchasing shares of the parties in accessories but indicates that the amount of purchases represented less than [0-5]% of the revenue of the Jacqueline Riu group and less than [0-5]% of that of SIMM.</w:t>
      </w:r>
    </w:p>
    <w:p>
      <w:r>
        <w:t>18. The operation is therefore not likely to harm competition in the upstream markets for the supply of clothing and accessories.</w:t>
      </w:r>
    </w:p>
    <w:p>
      <w:r>
        <w:t>B. ON THE DOWNSTREAM MARKETS FOR THE RETAIL SALE OF MID-RANGE WOMEN'S CLOTHING AND ACCESSORIES</w:t>
      </w:r>
    </w:p>
    <w:p>
      <w:r>
        <w:t>19. At the national level, the new entity will hold a market share of the entire women's ready-to-wear sector estimated at [0-5]%, with the operation resulting in a limited addition of market shares (the Jacqueline Riu group representing a market share of [0-5]%). The parties were unable to assess the market shares in the mid-range clothing segment. However, the new entity will continue to face competition from numerous mid-range brands such as Caroll, Sinequanone, Kookaï, Naf Naf, 1.2.3, Etam, Esprit, or Camaïeu.</w:t>
      </w:r>
    </w:p>
    <w:p>
      <w:r>
        <w:t>20. At the local level, the activities of the parties overlap in 102 cities located across the national territory, in city centers and shopping centers. Following the operation, the notifying party estimates that its market share will remain below 25% in each of the overlapping areas and notes that it will face at least five direct competing brands such as Camaïeu, Etam, Jennyfer, Pimkie, Promod, Caroll, Cache-Cache, 1.2.3, or H&amp;M. Furthermore, the supply remains particularly fragmented in this sector.</w:t>
      </w:r>
    </w:p>
    <w:p>
      <w:r>
        <w:t>21. Regarding the retail sale of accessories, the notifying party was unable to provide an accurate estimate of market shares, while noting that it will even locally have a market share below 25%. The notifying party further notes that this activity represents only a small part of the respective revenue of the parties (approximately [5-10]% for Armand Thiery and less than [10-20]% for Riu Aublet). As in the market for the retail sale of mid-range women's clothing, the new entity will continue to face competition from numerous brands, the sector being characterized by a fragmented supply.</w:t>
      </w:r>
    </w:p>
    <w:p>
      <w:r>
        <w:t>22. The operation is therefore not likely to harm competition.</w:t>
      </w:r>
    </w:p>
    <w:p>
      <w:r>
        <w:t>DECIDES</w:t>
      </w:r>
    </w:p>
    <w:p>
      <w:r>
        <w:t>Sole Article: The operation notified under number 13-069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