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https://www.autoritedelaconcurrence.fr/fr/decision-de-controle-des-concentrations/relative-lacquisition-des-societes-meny-automobiles-et-meny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12-DCC-22 of February 10, 2012  </w:t>
        <w:br/>
        <w:t xml:space="preserve">regarding the acquisition of the companies Meny Automobiles and Meny Nancy  </w:t>
        <w:br/>
        <w:t xml:space="preserve">by the company SAS Groupe David Gerbier  </w:t>
        <w:br/>
        <w:t xml:space="preserve">The Competition Authority,  </w:t>
        <w:br/>
        <w:t xml:space="preserve">Having regard to the complete notification file sent to the mergers department on January 24, 2012,  </w:t>
        <w:br/>
        <w:t xml:space="preserve">concerning the acquisition of the companies Meny Automobiles and Meny Nancy by the company SAS  </w:t>
        <w:br/>
        <w:t xml:space="preserve">Groupe David Gerbier, formalized by a memorandum of understanding containing a promise to transfer  </w:t>
        <w:br/>
        <w:t xml:space="preserve">shares dated January 5,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Meny Automobiles,  </w:t>
        <w:br/>
        <w:t xml:space="preserve">operating a car dealership for Fiat, Alfa Romeo, Lancia, Abarth, and Jeep brands in the city of Laxou (54), as well as the company Meny Nancy, operating a car dealership for the Opel brand in the cities of Nancy (54) and Laxou (54), by the David Gerbier group, which operates car dealerships for all brands in the Rhône-Alpes, Limousin, and Aquitaine regions, through its subsidiary AR8 Automobiles.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12-007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