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https://www.autoritedelaconcurrence.fr/fr/decision-de-controle-des-concentrations/relative-lacquisition-des-societes-nobladis-tuile-plat-la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12-DCC-78 of June 7, 2012  </w:t>
        <w:br/>
        <w:t xml:space="preserve">regarding the acquisition of the companies Nobladis, Tuile Plat, La Guide, and  </w:t>
        <w:br/>
        <w:t xml:space="preserve">Galerie by the company Amidis et Compagnie (Carrefour group)  </w:t>
        <w:br/>
        <w:t xml:space="preserve">The Competition Authority,  </w:t>
        <w:br/>
        <w:t xml:space="preserve">Having regard to the complete notification file sent to the mergers department on May 21, 2012,  </w:t>
        <w:br/>
        <w:t xml:space="preserve">concerning the acquisition of the companies Nobladis, Tuile Plat, La Guide, and Galerie by the Carrefour group, via the company Amidis et Compagnie, materialized by a promise of transfer and acquisition of social shares dated May 14, 2012;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by the company Amidis et Compagnie, belonging to the Carrefour group, of the company Nobladis which operates under the Carrefour brand a business establishment predominantly selling food with an area of 2,063 m2 (see grid and map) located in Saint-Léonard-de-Noblat (87), and the companies Tuile Plat, La Guide, and Galerie which lease to the company Nobladis properties located in Saint-Léonard-de-Noblat (87). It constitutes a concentration operation within the meaning of Article L. 430-1 of the Commercial Code. Given the turnover achieved by the companies concerned, the operation does not have a community dimension. However, the control thresholds related to retail trade mentioned in point II of Article L. 430-2 of the Commercial Code are exceeded. The present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12-086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