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https://www.autoritedelaconcurrence.fr/fr/decision-de-controle-des-concentrations/relative-lacquisition-des-societes-pimy-elojoc-sogidi-et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11-DCC-153 of November 3, 2011  </w:t>
        <w:br/>
        <w:t xml:space="preserve">regarding the acquisition of the companies Pimy, Elojoc, Sogidi, and Milina by  </w:t>
        <w:br/>
        <w:t xml:space="preserve">the company ITM Alimentaire Sud-Est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October 13, 2011, concerning the acquisition of the companies Pimy, Elojoc, Sogidi, and Milina by  </w:t>
        <w:br/>
        <w:t xml:space="preserve">the company ITM Alimentaire Sud-Est;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ITM Alimentaire  </w:t>
        <w:br/>
        <w:t xml:space="preserve">Sud-Est of, on the one hand, the companies Pimy and Elojoc which operate in Milhaud (30) retail outlets with a food focus under the brands Intermarché and Netto with respective areas of 2,570 m² and 765 m², and on the other hand, the companies Sogidi and Milina which operate in Saint Gilles (30) retail outlets with a food focus under the brands Intermarché and Netto with respective areas of 2,265 m² and 670 m². It constitutes a concentration operation within the meaning of Article L. 430-1 of the Commercial Code. Given the turnover generated by the companies concerned, the operation does not have a community dimension. However,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11-0183 is authorized.  </w:t>
        <w:br/>
        <w:t xml:space="preserve">The Vice-President,  </w:t>
        <w:br/>
        <w:t xml:space="preserve">Françoise Aubert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