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https://www.autoritedelaconcurrence.fr/fr/decision-de-controle-des-concentrations/relative-lacquisition-des-societes-sodirec-cleder</w:t>
      </w:r>
    </w:p>
    <w:p>
      <w:r>
        <w:t>Pages translated : 2</w:t>
      </w:r>
    </w:p>
    <w:p/>
    <w:p>
      <w:r>
        <w:rPr>
          <w:b/>
        </w:rPr>
        <w:t>[Pages 1–2]</w:t>
      </w:r>
    </w:p>
    <w:p>
      <w:r>
        <w:t xml:space="preserve">FRENCH REPUBLIC  </w:t>
        <w:br/>
        <w:t xml:space="preserve">Decision No. 13-DCC-61 of May 23, 2013  </w:t>
        <w:br/>
        <w:t xml:space="preserve">regarding the acquisition of the companies Sodirec, Cléder Distribution, and  </w:t>
        <w:br/>
        <w:t xml:space="preserve">Léodis by the company Système U Centrale Régionale Ouest  </w:t>
        <w:br/>
        <w:t xml:space="preserve">The Competition Authority,  </w:t>
        <w:br/>
        <w:t xml:space="preserve">Having regard to the complete notification file submitted to the mergers department on April 29, 2013, concerning the acquisition of the companies Sodirec, Cléder Distribution, and Léodis by the company Système U Centrale Régionale Ouest;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Sodirec, Cléder Distribution, and Léodis, which operate retail businesses predominantly in the food sector under the brand "Super U" in Brest (29), Cléder (29), and Plabennec (29), by the company Système U Centrale Régionale Ouest.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13-066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