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https://www.autoritedelaconcurrence.fr/fr/decision-de-controle-des-concentrations/relative-lacquisition-du-controle-conjoint-de-la-societe-0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 of February 9, 2012  </w:t>
        <w:br/>
        <w:t xml:space="preserve">regarding the acquisition of joint control of the company Janada by the  </w:t>
        <w:br/>
        <w:t xml:space="preserve">company ITM Entreprises and SAS Mounivest  </w:t>
        <w:br/>
        <w:t xml:space="preserve">The Competition Authority,  </w:t>
        <w:br/>
        <w:t xml:space="preserve">Having regard to the complete notification file sent to the mergers department on January 20, 2012,  </w:t>
        <w:br/>
        <w:t xml:space="preserve">concerning the acquisition of joint control of the company Janada by the company ITM Entreprises  </w:t>
        <w:br/>
        <w:t xml:space="preserve">and SAS Mounivest belonging to the Peyronnet group, materialized by the adoption by the  </w:t>
        <w:br/>
        <w:t xml:space="preserve">company Janada of the SAS Groupement statutes, granting a preferred share to the company  </w:t>
        <w:br/>
        <w:t xml:space="preserve">ITM Entreprises;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joint control of the company Janada, operating  </w:t>
        <w:br/>
        <w:t xml:space="preserve">a retail business predominantly in food, under the Intermarché brand, with a surface area of 2,268 m² and located in the city of Le Séquestre (81), by ITM Entreprises alongside the company Mounivest, belonging to the Peyronnet group.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12-008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