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https://www.autoritedelaconcurrence.fr/fr/decision-de-controle-des-concentrations/relative-lacquisition-du-controle-conjoint-de-la-societe</w:t>
      </w:r>
    </w:p>
    <w:p>
      <w:r>
        <w:t>Pages translated : 2</w:t>
      </w:r>
    </w:p>
    <w:p/>
    <w:p>
      <w:r>
        <w:rPr>
          <w:b/>
        </w:rPr>
        <w:t>[Pages 1–2]</w:t>
      </w:r>
    </w:p>
    <w:p>
      <w:r>
        <w:t xml:space="preserve">FRENCH REPUBLIC  </w:t>
        <w:br/>
        <w:t xml:space="preserve">Decision No. 11-DCC-28 of March 7, 2011  </w:t>
        <w:br/>
        <w:t xml:space="preserve">regarding the acquisition of joint control of the company Prosol Gestion  </w:t>
        <w:br/>
        <w:t xml:space="preserve">by Abenex Capital  </w:t>
        <w:br/>
        <w:t xml:space="preserve">The Competition Authority,  </w:t>
        <w:br/>
        <w:t xml:space="preserve">Having regard to the complete notification file submitted to the mergers department on February 4, 2011,  </w:t>
        <w:br/>
        <w:t xml:space="preserve">concerning the acquisition of joint control of the Prosol group by Abenex Capital alongside  </w:t>
        <w:br/>
        <w:t xml:space="preserve">the company HPL, formalized by an investment and acquisition protocol dated December 23, 2010;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of joint control of the company Prosol Gestion and  </w:t>
        <w:br/>
        <w:t xml:space="preserve">its subsidiaries, active in the sectors of supply and distribution of fresh fruits and vegetables and seafood products, by Abenex Capital alongside the company HPL, which currently holds exclusive control and constitutes a concentration operation within the meaning of Article L. 430-1 of the Commercial Code. Given the turnover achieved by the companies concerned, the operation does not have a community dimension. On the other hand, the control thresholds related to retail trade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11-0017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