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https://www.autoritedelaconcurrence.fr/fr/decision-de-controle-des-concentrations/relative-lacquisition-du-controle-conjoint-du-groupe-bio-7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14-DCC-112 of July 29, 2014  </w:t>
        <w:br/>
        <w:t xml:space="preserve">regarding the acquisition of joint control of the Bio 7 group by  </w:t>
        <w:br/>
        <w:t xml:space="preserve">Ardian France and Frédéric Barroux  </w:t>
        <w:br/>
        <w:t xml:space="preserve">The Competition Authority,  </w:t>
        <w:br/>
        <w:t xml:space="preserve">Having regard to the complete notification file submitted to the mergers department on June 26, 2014,  </w:t>
        <w:br/>
        <w:t xml:space="preserve">concerning the acquisition of joint control of the Bio 7 group by Ardian France and Frédéric  </w:t>
        <w:br/>
        <w:t xml:space="preserve">Barroux, formalized by a purchase agreement dated June 4, 2014;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provided by the parties during the investigation;  </w:t>
        <w:br/>
        <w:t xml:space="preserve">Adopts the following decision:  </w:t>
        <w:br/>
        <w:t xml:space="preserve">1. The notified operation consists of the acquisition of joint control of the Bio 7 group, active in the  </w:t>
        <w:br/>
        <w:t xml:space="preserve">sector of medical biology analysis by Ardian France, a private equity company, and by Frédéric Barroux. It constitutes a concentration operation within the meaning of Article L. 430-1 of the Commercial Code. Given the turnover achieved by the companies concerned, the operation does not fall under the jurisdiction of the European Union. However, the control thresholds mentioned in point 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14-113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