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https://www.autoritedelaconcurrence.fr/fr/decision-de-controle-des-concentrations/relative-lacquisition-du-controle-conjoint-du-groupedupont</w:t>
      </w:r>
    </w:p>
    <w:p>
      <w:r>
        <w:t>Pages translated : 3</w:t>
      </w:r>
    </w:p>
    <w:p/>
    <w:p>
      <w:r>
        <w:rPr>
          <w:b/>
        </w:rPr>
        <w:t>[Pages 1–3]</w:t>
      </w:r>
    </w:p>
    <w:p>
      <w:r>
        <w:t xml:space="preserve">FRENCH REPUBLIC  </w:t>
        <w:br/>
        <w:t xml:space="preserve">Decision No. 10-DCC-94 of August 16, 2010  </w:t>
        <w:br/>
        <w:t xml:space="preserve">regarding the joint acquisition of control of the Dupont Group  </w:t>
        <w:br/>
        <w:t xml:space="preserve">by Abenex IV and Mr. Pascal Dupont  </w:t>
        <w:br/>
        <w:t xml:space="preserve">The Competition Authority,  </w:t>
        <w:br/>
        <w:t xml:space="preserve">Having regard to the notification file submitted in full to the merger service on August 3, 2010,  </w:t>
        <w:br/>
        <w:t xml:space="preserve">regarding the joint acquisition of control of the Dupont Group by Abenex IV and Mr. Dupont,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Abénex Capital (hereinafter "Abénex Capital") is an approved portfolio management company, active in the private equity sector. Its capital is wholly owned by three individuals, none of whom has a controlling interest in another commercial company. Abénex Capital autonomously manages the investments of its venture capital funds (hereinafter "FCPR"), including Abénex IV. Through its FCPRs, Abénex Capital is active in various sectors, primarily those of consulting and engineering in the development of tertiary spaces, the distribution of household appliances, and microbiology. It also exercises joint control with Natixis Private Equity over the company Buffalo Grill, active in the "non-fast food" commercial catering sector and in the hotel sector. Abénex Capital achieved a worldwide turnover excluding tax of [&gt;150] million euros in 2009 and [&gt;50] million euros in France.  </w:t>
        <w:br/>
        <w:t>1 This joint acquisition was subject to notification and authorization from the European Commission, see decision COMP/M.5291 Abenex Capital/Natixis Private Equity/Colbison SAS of September 2, 2008.</w:t>
      </w:r>
    </w:p>
    <w:p>
      <w:r>
        <w:t xml:space="preserve">2. Mr. Dupont currently exercises exclusive control over the Dupont group via the company Platon, the group's holding company, in which he holds [&gt;55]% of the capital. The Dupont group, composed of six companies, is engaged in collective catering primarily for businesses, administrations, and healthcare establishments. The group is also active in the sectors of concession catering, operation of commercial restaurants, event catering, food supply, and industrial cleaning. In 2009, the Dupont group achieved a worldwide turnover excluding tax of [120-130] million, of which [120-130] was in France.  </w:t>
        <w:br/>
        <w:t xml:space="preserve">3. The joint acquisition of the Dupont group by Abénex IV and Mr. Dupont will be carried out through the simplified joint-stock company Restinvest, in which they will hold respectively [&lt;35]% and [&gt;55]% of the capital. The joint control of Abénex IV and Mr. Dupont over Restinvest will result from the governance rules of the company relating to the decision-making of the supervisory board of the company. While it is provided that Mr. Dupont will appoint two-thirds of its members, decisions made by the supervisory board must be adopted by a simple majority and with the positive vote of at least one member appointed by Abénex IV. Restinvest acquiring 100% of the capital and voting rights of Platon, Abénex IV and Mr. Dupont will exercise joint control over the Dupont group.  </w:t>
        <w:br/>
        <w:t xml:space="preserve">4. Insofar as it results in the joint control by Abénex IV and Mr. Dupont of the Dupont group, the notified operation constitutes a concentration within the meaning of Article L. 430-1 of the Commercial Code. Given the turnover of the concerned companies, it does not have a community dimension.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II. Competitive analysis  </w:t>
        <w:br/>
        <w:t xml:space="preserve">5. The notifying parties are simultaneously present in the commercial catering market. Community decision-making practice, while leaving the question open, has been led to segment this market between the low-cost fast food segment and the more sophisticated higher-priced catering segment.  </w:t>
        <w:br/>
        <w:t xml:space="preserve">6. Regarding the geographical dimension of these markets, the Minister of Economy, in the context of his examination of the exclusive control of Buffalo Grill by Colony Capital LLC, found that competition in the commercial catering market operated in local catchment areas. On the fast food market alone, the European Commission has, on the other hand, highlighted several elements advocating for a national market dimension while leaving the question open. Similarly, it is not necessary in this case to rule on the exact definition of the market, as whatever segmentation is retained, the conclusions of the analysis will remain unchanged.  </w:t>
        <w:br/>
        <w:t xml:space="preserve">2 European Commission decision of June 6, 2006, COMP/M.4220 – Food Service Project / Tele Pizza.  </w:t>
        <w:br/>
        <w:t xml:space="preserve">3 Letter from the Minister of Economy, Finance and Industry dated September 9, 2005, to the advisors of the investment funds Colony Investors VII, L.P. and Colyzeo Investors, L.P., regarding a concentration in the industrial catering sector (C2005-83).  </w:t>
        <w:br/>
        <w:t>4 European Commission decisions COMP/M.2940 – TPG Advisors III / Goldman Sachs / Bain Capital Investors / Burger King of October 11, 2002 and the aforementioned COMP/M.4220.</w:t>
      </w:r>
    </w:p>
    <w:p>
      <w:r>
        <w:t xml:space="preserve">7. At the national level, the Dupont group operates [&lt;10] restaurants, of which [&lt;5] by way of concession and [&lt;5] in its own name. At the local level, the parties are simultaneously present in the only agglomeration of Lesquin (Nord) with one restaurant each alongside an abundant offer. The marginal presence of the Dupont group in the commercial catering market will therefore not have an effect on competition in this market.  </w:t>
        <w:br/>
        <w:t xml:space="preserve">DECIDES  </w:t>
        <w:br/>
        <w:t xml:space="preserve">Sole Article: The operation notified under number 10-0114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