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https://www.autoritedelaconcurrence.fr/fr/decision-de-controle-des-concentrations/relative-lacquisition-du-controle-exclusif-de-5-fonds-de</w:t>
      </w:r>
    </w:p>
    <w:p>
      <w:r>
        <w:t>Pages translated : 5</w:t>
      </w:r>
    </w:p>
    <w:p/>
    <w:p>
      <w:r>
        <w:rPr>
          <w:b/>
        </w:rPr>
        <w:t>[Pages 1–3]</w:t>
      </w:r>
    </w:p>
    <w:p>
      <w:r>
        <w:t xml:space="preserve">FRENCH REPUBLIC  </w:t>
        <w:br/>
        <w:t xml:space="preserve">Decision No. 19-DCC-152 of July 26, 2019  </w:t>
        <w:br/>
        <w:t>regarding the acquisition of exclusive control of 5 food-dominant business assets by ITM* Alimentaire International</w:t>
      </w:r>
    </w:p>
    <w:p>
      <w:r>
        <w:t xml:space="preserve">The Competition Authority,  </w:t>
        <w:br/>
        <w:t xml:space="preserve">Having regard to the notification file submitted in full to the concentrations service on June 27, 2019, regarding the exclusive control by ITM* Alimentaire International of 5 food-dominant retail stores operating under the Casino and Leader Price brands, formalized by a purchase agreement dated June 5, 2019;  </w:t>
        <w:br/>
        <w:t xml:space="preserve">Having regard to Book IV of the Commercial Code relating to price freedom and competition, and in particular Articles L. 430-1 to L. 430-7;  </w:t>
        <w:br/>
        <w:t>Adopts the following decision:</w:t>
      </w:r>
    </w:p>
    <w:p>
      <w:r>
        <w:t xml:space="preserve">I. The companies concerned and the operation  </w:t>
        <w:br/>
        <w:t xml:space="preserve">1. ITM* Alimentaire International is a simplified joint-stock company, wholly owned by ITM Entreprises, which is itself controlled by the Société civile des Mousquetaires. The latter is controlled by the company Les Mousquetaires, which is owned by 1,498 individuals ("associated members") and the association l'Union des Mousquetaires. These various companies supply and manage the network of independent merchants (hereinafter "the Mousquetaires group"). The Mousquetaires group operates various brands, such as Intermarché, Netto, Poivre Rouge, Bricomarché, Bricorama, Bricocash, Batkor, Roady, Rapid Pare-Brise, and American Car Wash.  </w:t>
        <w:br/>
        <w:t xml:space="preserve">2. The target assets of the operation are 5 food-dominant retail stores operated under the Casino and Leader Price brands, which are controlled (i) exclusively by the Casino group or (ii) by one of its franchisees.  </w:t>
        <w:br/>
        <w:t xml:space="preserve">1 These stores are located in Les Avenières (38), Château-Renard (45), Fouilloy (80), and Migné-Auxences (86).  </w:t>
        <w:br/>
        <w:t xml:space="preserve">2 This store is located in Ludon-Médoc (33).  </w:t>
        <w:br/>
        <w:t>* Correction of a material error.</w:t>
      </w:r>
    </w:p>
    <w:p>
      <w:r>
        <w:t xml:space="preserve">3. The operation, formalized by a purchase agreement dated June 5, 2019, involves the acquisition by ITM* Alimentaire International of the business assets of the 5 target stores. Their interdependence is explicitly stated in Article 2 of the purchase agreement, according to which the exercise of this agreement can only pertain to all the stores collectively. As it results in the exclusive control of the target stores, the notified operation constitutes a concentration within the meaning of Article L. 430-1 of the Commercial Code.  </w:t>
        <w:br/>
        <w:t xml:space="preserve">4. The companies concerned together achieve a total worldwide turnover excluding taxes of more than 75 million (ITM Entreprises: [≥ 75 million] euros for the fiscal year ending December 31, 2017; target stores: [≤ 75 million] euros for the fiscal year ending December 31, 2018). The companies concerned achieve in France in the retail sector a turnover exceeding 15 million euros (ITM Entreprises: [≥ 15 million] euros for the fiscal year ending February 28, 2018; target stores: [≥ 15 million] euros for the fiscal year ending December 31, 2018).  </w:t>
        <w:br/>
        <w:t>5.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According to the consistent practice of national3 and European4 competition authorities, two categories of markets can be delineated in the food-dominant distribution sector: on the one hand, downstream markets, of a local dimension, which bring together retail companies and consumers for the sale of consumer goods, and on the other hand, upstream supply markets where companies as buyers are in contact with product manufacturers, of a national dimension.  </w:t>
        <w:br/>
        <w:t xml:space="preserve">3 See in particular the decision of the Competition Authority No. 14-DCC-173 of November 21, 2014, regarding the acquisition of control of Dia France SAS by Carrefour France SAS, and decision No. 17-DCC-231 of December 27, 2017, regarding the joint control by the Zouari family alongside the Casino group of 125 food-dominant retail stores.  </w:t>
        <w:br/>
        <w:t xml:space="preserve">4 See in particular the decisions of the European Commission M.1221, Rewe / Meinl of February 3, 1999, and M.1684, Carrefour/ Promodès of January 25, 2000.  </w:t>
        <w:br/>
        <w:t>* Correction of a material error.</w:t>
      </w:r>
    </w:p>
    <w:p>
      <w:r>
        <w:t xml:space="preserve">A. UPSTREAM SUPPLY MARKETS  </w:t>
        <w:br/>
        <w:t xml:space="preserve">7. Regarding supply markets, the European Commission5 has identified the existence of national markets by major product groups, a delineation followed by the Competition Authority during the review of concentration operations in this sector6.  </w:t>
        <w:br/>
        <w:t>8. There is no reason to challenge this delineation in the context of the present operation.</w:t>
      </w:r>
    </w:p>
    <w:p>
      <w:r>
        <w:t xml:space="preserve">B. DOWNSTREAM MARKETS OF RETAIL DISTRIBUTION MAINLY FOOD-ORIENTED  </w:t>
        <w:br/>
        <w:t xml:space="preserve">1. PRODUCT MARKETS  </w:t>
        <w:br/>
        <w:t xml:space="preserve">9. Concerning the retail sale of everyday consumer goods, the decision-making practice of the Authority7 distinguishes six categories of commerce by considering several criteria, notably the size of the stores, their sales techniques, their accessibility, the nature of the service rendered, and the range of products offered: (i) hypermarkets (with a legal sales area greater than 2,500 m²), (ii) supermarkets (food-dominant stores with a sales area less than 2,500 m² and greater than 400 m²), (iii) specialized commerce, (iv) small retail (less than 400 m²), (v) maxi discounters, (vi) mail order sales.  </w:t>
        <w:br/>
        <w:t xml:space="preserve">10. The competition authorities8 consider that, while each category of store retains its specificity, there is asymmetric competition between certain of these categories. They thus distinguish:  </w:t>
        <w:br/>
        <w:t xml:space="preserve">- a market comprising only hypermarkets;  </w:t>
        <w:br/>
        <w:t xml:space="preserve">- a market comprising supermarkets and equivalent forms of commerce (hypermarkets, hard-discount, and popular stores) excluding small retail (less than 400 m²).  </w:t>
        <w:br/>
        <w:t>11. There is no reason to challenge these definitions in the context of the present operation.</w:t>
      </w:r>
    </w:p>
    <w:p>
      <w:r>
        <w:t xml:space="preserve">2. GEOGRAPHICAL MARKETS  </w:t>
        <w:br/>
        <w:t xml:space="preserve">12. The competition authorities have examined the effects of concentrations in the food-dominant retail sector at the local level, corresponding to the catchment area associated with each store, the extent of which depends on the travel time for the consumer.  </w:t>
        <w:br/>
        <w:t xml:space="preserve">13. Regarding supermarkets, it follows from the decision-making practice of the Authority9 that the conditions of competition are generally assessed over an area where the  </w:t>
        <w:br/>
        <w:t xml:space="preserve">5 See in particular the decision of the European Commission M.1221 cited above.  </w:t>
        <w:br/>
        <w:t xml:space="preserve">6 See in this regard decision No. 11-DCC-45 of March 18, 2011, regarding the acquisition of exclusive control of the business assets of the Cora Desmarais hypermarket by Sodex Desmarais.  </w:t>
        <w:br/>
        <w:t xml:space="preserve">7 See in particular the decision of the Competition Authority No. 13-DCC-90 of July 11, 2013, regarding the exclusive control of Monoprix by Casino Guichard-Perrachon.  </w:t>
        <w:br/>
        <w:t xml:space="preserve">8 Id.  </w:t>
        <w:br/>
        <w:t>9 See decisions No. 14-DCC-173 and No. 17-DCC-231 cited above.</w:t>
      </w:r>
    </w:p>
    <w:p>
      <w:r>
        <w:rPr>
          <w:b/>
        </w:rPr>
        <w:t>[Pages 4–5]</w:t>
      </w:r>
    </w:p>
    <w:p>
      <w:r>
        <w:t>consumer demand and the supply of supermarkets and equivalent forms of commerce located within 15 minutes' driving time.</w:t>
      </w:r>
    </w:p>
    <w:p>
      <w:r>
        <w:t>14. The Authority consistently specifies, however, that these boundaries are subject to change on a case-by-case basis, depending on the characteristics of the local area, as other criteria may be considered to assess the impact of a concentration on the competitive situation in retail distribution markets, which may lead to refining, in the specific case, the usual boundaries presented above.</w:t>
      </w:r>
    </w:p>
    <w:p>
      <w:r>
        <w:t>15. There is no reason to challenge these boundaries in the context of the present operation.</w:t>
      </w:r>
    </w:p>
    <w:p>
      <w:r>
        <w:t>16. In this case, the proposed operation concerns 5 food-dominant stores whose sales area is between 400 m² and 2,500 m².</w:t>
      </w:r>
    </w:p>
    <w:p>
      <w:r>
        <w:t>III. Competitive Analysis</w:t>
        <w:br/>
        <w:t>A. UPSTREAM SUPPLY MARKETS</w:t>
        <w:br/>
        <w:t>17. Regarding the upstream supply markets, the operation concerns 5 stores whose total purchasing amount represents a very marginal share of the national supply market10. The purchasing power of ITM is therefore not likely to be strengthened, across all products combined, as well as by product categories, following the operation.</w:t>
      </w:r>
    </w:p>
    <w:p>
      <w:r>
        <w:t>18. Consequently, the operation is not likely to harm competition in the upstream distribution market.</w:t>
      </w:r>
    </w:p>
    <w:p>
      <w:r>
        <w:t>B. DOWNSTREAM DISTRIBUTION MARKETS</w:t>
        <w:br/>
        <w:t>19. The operation involves an overlap of activities with the stores operated under the ITM brand in the following 4 catchment areas: Ludon-Médoc (33), Les Avenières (35), Fouilloy (80), and Migné-Auxences (86).</w:t>
      </w:r>
    </w:p>
    <w:p>
      <w:r>
        <w:t>20. In the areas of Ludon-Médoc (33), Fouilloy (80), and Migné-Auxences (86), the market share of stores operated under the ITM brand will remain below 25%. The new entity will also face competition from several of the main national food distribution brands (Aldi, Auchan, Carrefour, Casino, Lidl, Leclerc, Système U, Colruyt) in each of these areas.</w:t>
      </w:r>
    </w:p>
    <w:p>
      <w:r>
        <w:t>21. The target store located in Les Avenières (35) under the Casino brand has a sales area of 1,988 m². It therefore falls into the category of supermarkets.</w:t>
      </w:r>
    </w:p>
    <w:p>
      <w:r>
        <w:t>10 The Intermarché group recently notified the acquisition of two points of sale that were the subject of two separate authorization decisions. The risk of strengthening the purchasing power of the Intermarché group, as a player in the supply markets, was studied taking into account these two operations. The 7 stores represent a market share of less than 0.1% in the overall supply market. It remains marginal by product family.</w:t>
      </w:r>
    </w:p>
    <w:p>
      <w:r>
        <w:t>22. In the market comprising supermarkets and equivalent forms of commerce located in the catchment area of this store, ITM operates two stores with a total area of 3,470 m², representing a market share of [20-30]% before the operation. Following the operation, the market share of the new entity will therefore be [40-50]%. However, ITM will face competition from the Casino group ([20-30]%), Colruyt ([5-10]%), Système U ([5-10]%), and Lidl ([5-10]%).</w:t>
      </w:r>
    </w:p>
    <w:p>
      <w:r>
        <w:t>23. Consequently, the operation is not likely to harm competition in the downstream distribution markets.</w:t>
      </w:r>
    </w:p>
    <w:p>
      <w:r>
        <w:t>DECIDES</w:t>
        <w:br/>
        <w:t>Sole Article: The operation notified under number 19-165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