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https://www.autoritedelaconcurrence.fr/fr/decision-de-controle-des-concentrations/relative-lacquisition-du-controle-exclusif-de-bergerat</w:t>
      </w:r>
    </w:p>
    <w:p>
      <w:r>
        <w:t>Pages translated : 5</w:t>
      </w:r>
    </w:p>
    <w:p/>
    <w:p>
      <w:r>
        <w:rPr>
          <w:b/>
        </w:rPr>
        <w:t>[Pages 1–3]</w:t>
      </w:r>
    </w:p>
    <w:p>
      <w:r>
        <w:t>FRENCH REPUBLIC</w:t>
        <w:br/>
        <w:t>Decision No. 11-DCC-194 of December 16, 2011</w:t>
        <w:br/>
        <w:t>regarding the acquisition of exclusive control of Bergerat Monnoyeur</w:t>
        <w:br/>
        <w:t>Location SAS by Kiloutou SA</w:t>
        <w:br/>
        <w:t>The Competition Authority,</w:t>
        <w:br/>
        <w:t>Having regard to the notification file submitted in full to the merger service on</w:t>
        <w:br/>
        <w:t>November 10, 2011, concerning the acquisition by Kiloutou SA of exclusive control of Bergerat</w:t>
        <w:br/>
        <w:t>Monnoyeur Location SAS, formalized by a share transfer agreement dated</w:t>
        <w:br/>
        <w:t>October 21, 2011;</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Kiloutou SA (hereinafter "Kiloutou") specializes in equipment rental in</w:t>
        <w:br/>
        <w:t>France, primarily for a professional clientele. Kiloutou offers various construction products for</w:t>
        <w:br/>
        <w:t>rent (earthmoving, lifting, utility vehicles) as well as products referred to as "multirental"</w:t>
        <w:br/>
        <w:t>(heating equipment, air conditioning, ladders, scaffolding, lighting, cleaning, drilling, handling,</w:t>
        <w:br/>
        <w:t>painting, welding, trailers). Kiloutou also offers ancillary services to rental (equipment insurance,</w:t>
        <w:br/>
        <w:t>repair and cleaning of equipment, sale of consumables related to the use of equipment) as well as</w:t>
        <w:br/>
        <w:t>associated subcontracting activities. The capital of Kiloutou is indirectly held at […] % by the</w:t>
        <w:br/>
        <w:t>company Sapak, […] % by "historical" shareholders, and […] % by managers and employees</w:t>
        <w:br/>
        <w:t>grouped in a holding. The company Sapak is itself held at […] % by PAI Partners SAS (hereinafter</w:t>
        <w:br/>
        <w:t>"PAI") and […] % by Sagard. A recent decision by the Commission established that PAI holds</w:t>
        <w:br/>
        <w:t>exclusive control of Kiloutou1. No other company controlled by PAI is active in the equipment</w:t>
        <w:br/>
        <w:t>rental sector or in upstream, downstream, or related business sectors.</w:t>
        <w:br/>
        <w:t>2. The company Bergerat Monnoyeur Location SAS (hereinafter "BM Location") is 100% owned</w:t>
        <w:br/>
        <w:t>by the company M2 Investissements. BM Location specializes in the rental of construction</w:t>
        <w:br/>
        <w:t>equipment (notably rental of earthmoving, compaction, and personnel lifting equipment) intended</w:t>
        <w:br/>
        <w:t>almost exclusively for a professional clientele.</w:t>
        <w:br/>
        <w:t>3. The proposed transaction consists of the acquisition by Kiloutou of 100% of the share capital</w:t>
        <w:br/>
        <w:t>and voting rights of BM Location. The transaction results in the exclusive control of BM Location</w:t>
        <w:br/>
        <w:t>by Kiloutou and constitutes a concentration within the meaning of Article L. 430-1 of the</w:t>
        <w:br/>
        <w:t>Commercial Code.</w:t>
        <w:br/>
        <w:t>4. The concerned companies together achieved a consolidated turnover excluding taxes on a</w:t>
        <w:br/>
        <w:t>global scale of more than 150 million euros in 2010 (PAI: […] billion euros; BM Location: […]</w:t>
        <w:br/>
        <w:t>million euros). Each of these companies achieved a turnover in France exceeding 50 million euros</w:t>
        <w:br/>
        <w:t>in 2010 (PAI: […] billion euros; BM Location: […] million euros). Given these turnover figures, the</w:t>
        <w:br/>
        <w:t>transaction does not have a community dimension. However, the control thresholds mentioned in I</w:t>
        <w:br/>
        <w:t>of Article L. 430-2 of the Commercial Code are exceeded. This transaction is therefore subject to</w:t>
        <w:br/>
        <w:t>the provisions of Articles L. 430-3 and following of the Commercial Code relating to economic</w:t>
        <w:br/>
        <w:t>concentration.</w:t>
        <w:br/>
        <w:t>II. Definition of relevant markets</w:t>
        <w:br/>
        <w:t>5. The parties are simultaneously active in the equipment rental sector in France.</w:t>
        <w:br/>
        <w:t>A. RELEVANT SERVICE MARKETS</w:t>
        <w:br/>
        <w:t>6. The decision-making practice has made a distinction between, on the one hand, the manufacture</w:t>
        <w:br/>
        <w:t>and sale of equipment and, on the other hand, the rental of equipment2.</w:t>
        <w:br/>
        <w:t>7. Regarding equipment rental, the decision-making practice has considered it relevant to operate a</w:t>
        <w:br/>
        <w:t>segmentation according to the type of construction equipment offered for rent3. It noted, on the one</w:t>
        <w:br/>
        <w:t>hand, that from the demand perspective, there may be a specific need for a type of equipment,</w:t>
        <w:br/>
        <w:t>notably when the construction company only performs a portion of the work requiring only one</w:t>
        <w:br/>
        <w:t>type of equipment. It also noted that, from the supply perspective, a significant proportion of</w:t>
        <w:br/>
        <w:t>renters specialize in renting a specific type of equipment. Without definitively resolving the issue of</w:t>
        <w:br/>
        <w:t>the exact delimitation of the markets in question, the decision-making practice identified several</w:t>
        <w:br/>
        <w:t>market segments grouping equipment by major function:</w:t>
        <w:br/>
        <w:t>2 Letter from the Minister of Economy, Finance and Industry No. C2003-226 of November 19, 2003, to the board of the company Pinguely,</w:t>
        <w:br/>
        <w:t>regarding a concentration in the equipment rental sector.</w:t>
        <w:br/>
        <w:t>3 Letter from the Minister of Economy, Finance and Employment No. C2007-38 of May 24, 2007, to the boards of the company Loxam SA,</w:t>
        <w:br/>
        <w:t>regarding a concentration in the construction equipment rental sector.</w:t>
      </w:r>
    </w:p>
    <w:p>
      <w:r>
        <w:t>- the personnel lifting equipment which includes all mobile machines intended to move people for performing work at height;</w:t>
        <w:br/>
        <w:t>- the generators, which are devices for autonomous electricity production;</w:t>
        <w:br/>
        <w:t>- the modular construction equipment, consisting of mobile and modular elements for temporary office, housing, or storage;</w:t>
        <w:br/>
        <w:t>- the compaction equipment which is composed of self-propelled or towed machines intended to compact soils or surfaces;</w:t>
        <w:br/>
        <w:t>- the earthmoving equipment which includes all self-propelled machines intended to perform loading or excavation operations, as well as their accessories, for all types of work and construction sites.</w:t>
        <w:br/>
        <w:t>8. The decision-making practice, however, ruled out an additional segmentation of the construction equipment rental services sector, on the one hand, based on the size of the construction site and, on the other hand, based on the type of clientele. Regarding the size of the construction sites, it noted that construction sites remain confined to a limited geographical area and that large-scale construction sites are divided into local segments for which nearby renters are called upon. Regarding the type of clientele, it noted that "large account" clients, local construction companies, and local authorities have equivalent needs in terms of equipment or service, that pricing conditions are relatively homogeneous for all types of clients, and that while "large account" clients, active at the national level, may have a propensity to call upon a supplier with agencies throughout the territory, this does not prevent them from referencing renters without national coverage.</w:t>
        <w:br/>
        <w:t>9. There is no reason to challenge the delimitation of the relevant markets retained by the decision-making practice prior to this operation.</w:t>
        <w:br/>
        <w:t>B. RELEVANT GEOGRAPHICAL MARKETS</w:t>
        <w:br/>
        <w:t>10. The decision-making practice left open the question of whether the markets for construction equipment rental have a national or local dimension (radius of 50 to 100 kilometers around the rental agency).</w:t>
        <w:br/>
        <w:t>11. In this case, the precise geographical delimitation of the market can also be left open, as, regardless of the delimitation retained, the conclusions of the analysis remain unchanged.</w:t>
        <w:br/>
        <w:t>III. Competitive analysis</w:t>
        <w:br/>
        <w:t>12. As previously indicated, the parties simultaneously offer equipment rental services primarily to a clientele of companies and more specifically the rental of lifting, compaction, earthmoving equipment, and generalist rental (including notably small construction tools such as jackhammers, drills, circular saws, vibrating plates, scaffolding, ladders, sanders, carpet cleaners, heating, air conditioning, compressors, gardening equipment), event equipment (tents, chairs, tables), and utility vehicles.</w:t>
      </w:r>
    </w:p>
    <w:p>
      <w:r>
        <w:rPr>
          <w:b/>
        </w:rPr>
        <w:t>[Pages 4–5]</w:t>
      </w:r>
    </w:p>
    <w:p>
      <w:r>
        <w:t>13. At the national level, the market shares of the parties, expressed in value for the year 2010, in the equipment rental market and in market segmentations by type of equipment on which the parties are active, are shown in the following table4:</w:t>
        <w:br/>
        <w:t>Kiloutou BM Location Total Parties</w:t>
        <w:br/>
        <w:t>Equipment rental all types of equipment combined [5-10] % [0-5] % [10-20] %</w:t>
        <w:br/>
        <w:t>Elevation equipment rental [10-20] % [0-5] % [10-20] %</w:t>
        <w:br/>
        <w:t>Compaction equipment rental [0-5] % [10-20] % [10-20] %</w:t>
        <w:br/>
        <w:t>Earthmoving equipment rental [5-10] % [5-10] % [10-20] %</w:t>
        <w:br/>
        <w:t>Generalist rental [10-20] % [0-5] % [10-20] %</w:t>
      </w:r>
    </w:p>
    <w:p>
      <w:r>
        <w:t>14. It follows from this table that as a result of the operation, the parties will hold national market shares of less than 15%, regardless of the segmentation of the market retained.</w:t>
      </w:r>
    </w:p>
    <w:p>
      <w:r>
        <w:t>15. Furthermore, the parties will continue to face competition from Loxam, whose market share at the national level across all types of equipment is estimated at approximately [20-30] %, as well as from many other operators including notably Hertz Equipement ([0-5] %), Salti ([0-5] %), Access ([0-5] %), Regis Location ([0-5] %), Locarmor ([0-5] %) and CGL ([0-5] %). Most of these operators have agencies covering the entire national territory and offer a wide range of equipment.</w:t>
      </w:r>
    </w:p>
    <w:p>
      <w:r>
        <w:t>16. The parties emphasize that, in each of the sub-segmentations of the market by type of equipment, Loxam holds market shares greater than the new entity. In these sub-segmentations of the market, the other main competitors of the parties are, in order of importance: Access, Salti, Lavendon, SGB, Eurolev, Hertz Equipement, and Most for the elevation equipment rental segment; Hertz Equipement, Locarmor, Salti, AEB, Liebherr, and CGL for the compaction equipment rental segment; Hertz Equipement, Locarmor, Salti, AEB, Liebherr, and CGL for the earthmoving equipment rental segment; and Régis Location, Hertz Equipement, Salti, and Locarmor for the generalist rental segment5.</w:t>
      </w:r>
    </w:p>
    <w:p>
      <w:r>
        <w:t>17. At the regional level, the combined market shares of the parties, expressed in value for the year 2010, are greater than or equal to 15% in four regions: in Haute-Normandie: [10-20] % (Kiloutou: [5-10] %; BM Location: [10-20] %); in Ile-de-France: [20-30] % (Kiloutou: [10-20] %; BM Location: [0-5] %); in Provence-Alpes-Côte d’Azur: [10-20] % (Kiloutou: [10-20] %; BM Location: [0-5] %); in Pays-de-Loire: [10-20] % (Kiloutou: [10-20] %; BM Location: [0-5] %)6.</w:t>
      </w:r>
    </w:p>
    <w:p>
      <w:r>
        <w:t>18. The parties will continue, following the operation, to face, at the regional level, competition from the aforementioned national operators who benefit from a significant network of agencies across the entire national territory, but also from regional and local operators.</w:t>
        <w:br/>
        <w:t>4 The market size estimates are estimates from the Professional Federation of Distributors, Lessors, and Repairers of Construction and Handling Equipment and internal estimates of the parties.</w:t>
        <w:br/>
        <w:t>5 The parties do not have data allowing them to estimate the market shares of their competitors at the regional level and by type of equipment.</w:t>
        <w:br/>
        <w:t>6 Sources: Internal estimates of the parties.</w:t>
      </w:r>
    </w:p>
    <w:p>
      <w:r>
        <w:t>19. It follows from the above that the notified operation is not likely to harm competition in the market for construction equipment rental or its potential sub-segmentations, whether at the national or regional level.</w:t>
        <w:br/>
        <w:t>DECIDES</w:t>
        <w:br/>
        <w:t>Single Article: The operation notified under number 11-0198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