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https://www.autoritedelaconcurrence.fr/fr/decision-de-controle-des-concentrations/relative-lacquisition-du-controle-exclusif-de-la-societe-1</w:t>
      </w:r>
    </w:p>
    <w:p>
      <w:r>
        <w:t>Pages translated : 2</w:t>
      </w:r>
    </w:p>
    <w:p/>
    <w:p>
      <w:r>
        <w:rPr>
          <w:b/>
        </w:rPr>
        <w:t>[Pages 1–2]</w:t>
      </w:r>
    </w:p>
    <w:p>
      <w:r>
        <w:t xml:space="preserve">FRENCH REPUBLIC  </w:t>
        <w:br/>
        <w:t xml:space="preserve">Decision No. 11-DEX-01 of June 21, 2011  </w:t>
        <w:br/>
        <w:t>concerning the acquisition of exclusive control of the company Tatex by the company Geodis</w:t>
      </w:r>
    </w:p>
    <w:p>
      <w:r>
        <w:t>The Competition Authority,</w:t>
      </w:r>
    </w:p>
    <w:p>
      <w:r>
        <w:t xml:space="preserve">Having regard to the notification file sent to the mergers department on March 1, 2011, and declared complete on April 22, 2011, concerning the acquisition of exclusive control of the company Tatex by the company Geodis, formalized by a share transfer and acquisition agreement dated February 15, 2011;  </w:t>
        <w:br/>
        <w:t xml:space="preserve">Having regard to Book IV of the Commercial Code relating to the freedom of prices and competition, and in particular its Articles L. 430-1 to L. 430-7;  </w:t>
        <w:br/>
        <w:t xml:space="preserve">Having regard to the commitments presented on May 30, 2011, by the notifying party;  </w:t>
        <w:br/>
        <w:t>Having regard to the additional elements provided by the parties during the investigation;</w:t>
      </w:r>
    </w:p>
    <w:p>
      <w:r>
        <w:t xml:space="preserve">Adopts the following decision:  </w:t>
        <w:br/>
        <w:t xml:space="preserve">1. Geodis is a nearly 100% subsidiary of the company SNCF Participations, whose capital is held at 99.98% by SNCF, the parent company of the SNCF group. This group is primarily active in the passenger rail transport sector as well as in logistics and freight transport. The latter activity is carried out within the company Geodis. The activities of the company Geodis are grouped around four main divisions: (i) maritime and air freight forwarding, (ii) contract logistics, (iii) express delivery, and (iv) road transport. Calberson is the parent company of the express delivery division. It offers, through its various subsidiaries, traditional, rapid, and express delivery services thanks to a French network comprising 11 transit centers and 110 agencies.  </w:t>
        <w:br/>
        <w:t xml:space="preserve">2. Tatex is a company specialized in express parcel delivery, primarily active in France. Its capital is currently held 85% by the company Xaap Finances, 15% by Mr. Papot, and 1% by Mr. Lehuede. Tatex delivers approximately 18 million parcels per year through a network of 7 regional transit centers and a national hub of 15,000 m².  </w:t>
        <w:br/>
        <w:t xml:space="preserve">3. By a share transfer and acquisition agreement dated February 15, 2011, Geodis committed to acquire all the shares of Tatex. As it results in the exclusive control of Tatex by Geodis, the notified operation constitutes a concentration within the meaning of Article L. 430-1 of the Commercial Code.  </w:t>
        <w:br/>
        <w:t xml:space="preserve">4. The companies concerned together achieve a total worldwide turnover of more than 150 million euros (SNCF group: [≥ 150 million] euros for the fiscal year ending December 31, 2009; Tatex: [≤ 150 million] euros for the same fiscal year). Each of these companies has achieved, in France, a turnover exceeding 50 million euros (SNCF group: [≥ 50 million] euros for the fiscal year ending December 31, 2009; Tatex: [≥ 50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5. The examination provided for in I of Article L. 430-5 of the Commercial Code, which has been conducted, leaves serious doubts regarding harm to competition. The operation indeed results in a significant overlap of the parties' activities in domestic express delivery between professionals ("B to B") and leads to the elimination of one of the main supply alternatives for customers. The commitments proposed by the notifying party on May 30, 2011, do not remedy the anti-competitive effects of the operation.  </w:t>
        <w:br/>
        <w:t>6. It is therefore necessary to initiate an in-depth examination, pursuant to III of Article L. 430-5 of the Commercial Code.</w:t>
      </w:r>
    </w:p>
    <w:p>
      <w:r>
        <w:t xml:space="preserve">DECIDES  </w:t>
        <w:br/>
        <w:t>Sole Article: The operation notified under number 11-019 is subject to an in-depth examination under the conditions provided for in Article L. 430-6 of the Commercial Code.</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