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https://www.autoritedelaconcurrence.fr/fr/decision-de-controle-des-concentrations/relative-lacquisition-du-controle-exclusif-de-la-societe-la</w:t>
      </w:r>
    </w:p>
    <w:p>
      <w:r>
        <w:t>Pages translated : 12</w:t>
      </w:r>
    </w:p>
    <w:p/>
    <w:p>
      <w:r>
        <w:rPr>
          <w:b/>
        </w:rPr>
        <w:t>[Pages 1–3]</w:t>
      </w:r>
    </w:p>
    <w:p>
      <w:r>
        <w:t>FRENCH REPUBLIC</w:t>
        <w:br/>
        <w:t>Decision No. 18-DCC-01 of January 10, 2018</w:t>
        <w:br/>
        <w:t>regarding the acquisition of exclusive control of the company La Redoute</w:t>
        <w:br/>
        <w:t>by the company Motier (Galeries Lafayette group)</w:t>
        <w:br/>
        <w:t>The Competition Authority,</w:t>
        <w:br/>
        <w:t>Having regard to the notification file submitted in full to the merger service on</w:t>
        <w:br/>
        <w:t>December 13, 2017, concerning the acquisition of the company La Redoute by the company Motier</w:t>
        <w:br/>
        <w:t>(Galeries Lafayette group), formalized by a share transfer and acquisition agreement dated</w:t>
        <w:br/>
        <w:t>October 27, 2017;</w:t>
        <w:br/>
        <w:t>Having regard to Book IV of the Commercial Code relating to price and competition freedom, and</w:t>
        <w:br/>
        <w:t>notably its Articles L. 430-1 to L. 430-7;</w:t>
        <w:br/>
        <w:t>Having regard to the supplementary elements transmitted by the notifying party during the investigation;</w:t>
        <w:br/>
        <w:t>Adopts the following decision:</w:t>
        <w:br/>
        <w:t>I. The concerned companies and the operation</w:t>
        <w:br/>
        <w:t>1. The company Motier SAS is the holding company of the Galeries Lafayette group. The company</w:t>
        <w:br/>
        <w:t>Motier is wholly owned by the Moulin family. The Galeries Lafayette group operates</w:t>
        <w:br/>
        <w:t>the generalist brands Galeries Lafayette and BHV/Marais as well as the jewelry and watch brands Louis Pion, Royal Quartz, Guérin Joaillerie, and Augis 1830, through numerous stores and e-commerce sites. It also operates the site specializing in wedding lists and gift lists Mille et une Listes, the site for selling second-hand luxury items Instantluxe, as well as the site Bazarchic, specialized in the event sale of products from major brands, mainly in the fields of fashion, decoration, wine and spirits, and travel.</w:t>
        <w:br/>
        <w:t>2. The company La Redoute SAS is a player in the distribution of non-food products,</w:t>
        <w:br/>
        <w:t>mainly active in the home sectors (furniture and home textiles) and clothing. La Redoute distributes its products primarily via its website, which includes a marketplace, but also through its catalogs and 11 physical sales points located in Paris (75), Lieusaint (77), Le Chesnay (78), Nantes (44), Lyon (69), Bron (69), Saint-Laurent-du-Var (06), and Roubaix (59), four of which are corners installed in stores of the Galeries Lafayette group.</w:t>
        <w:br/>
        <w:t>3. The operation consists of the acquisition by the company Motier of a stake between</w:t>
        <w:br/>
        <w:t>[…]% and […]% of the capital of La Redoute. As it constitutes an exclusive control acquisition of La Redoute by the Galeries Lafayette group, the operation constitutes a concentration within the meaning of Article L. 430-1 of the Commercial Code.</w:t>
        <w:br/>
        <w:t>4. The companies concerned together achieve a total turnover excluding taxes on a global scale of more than 150 million euros (Galeries Lafayette group: […] euros for the fiscal year ending December 31, 2016; La Redoute: […] euros for the same fiscal year). Each of these companies has achieved in France a turnover exceeding 50 million euros (Galeries Lafayette group: […] euros for the fiscal year ending December 31, 2016; La Redoute: […] euros for the same fiscal year). Given the turnover achieved by the concerned companies, the operation does not fall under the jurisdiction of the European Commission. However,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5. The parties are concurrently active in the sectors of retail trade of non-food products, destocked products, and costume jewelry items.</w:t>
        <w:br/>
        <w:t>6. In these sectors, two categories of markets are distinguished: (i) the upstream markets of</w:t>
        <w:br/>
        <w:t>supply of retail companies from manufacturers and (ii) the downstream markets, which bring together retail companies and final consumers.</w:t>
        <w:br/>
        <w:t>A. UPSTREAM SUPPLY MARKETS</w:t>
        <w:br/>
        <w:t>1. NON-FOOD PRODUCTS</w:t>
        <w:br/>
        <w:t>7. The parties purchase from various suppliers the items they then market to individuals.</w:t>
        <w:br/>
        <w:t>La Redoute publishes and distributes several "paper" catalogs, which respectively cover women's clothing (catalog "Anne Weyburn") and furniture (catalogs "AM.PM" and "La Redoute Interieurs").</w:t>
        <w:br/>
        <w:t>8. In the sector of distributor supply, the decision-making practice of competition authorities considers that producers cannot easily switch to manufacturing products other than their own. It thus distinguishes as many markets as there are families of products.</w:t>
        <w:br/>
        <w:t>9. In this case, the items purchased by the parties from their suppliers belong to the following product families: (i) furniture, (ii) home textiles, (iii) women's clothing, (iv) men's clothing, (v) children's clothing, (vi) underwear, (vii) shoes, (viii) leather goods, (ix) sports textiles, (x) sports shoes, (xi) small electrical appliances, (xii) large electrical appliances, (xiii) electronics, (xiv) decoration and gardening products, (xv) lighting, (xvi) toys, (xvii) luggage, and (xviii) tableware.</w:t>
        <w:br/>
        <w:t>10. According to the decision-making practice of competition authorities, the markets for</w:t>
        <w:br/>
        <w:t>the supply of non-food products are at least national in scope. Specifically regarding the markets for the supply of clothing and shoes, the markets have a global dimension.</w:t>
        <w:br/>
        <w:t>11. In any event, the exact definition of these markets can be left open, as the conclusions of the competitive analysis remain unchanged, regardless of the boundaries considered.</w:t>
        <w:br/>
        <w:t>2. DESTOCKED PRODUCTS</w:t>
        <w:br/>
        <w:t>12. Regarding the supply of destocked products, the decision-making practice of the Authority considers that it is appropriate to distinguish as many markets as there are families of destocked products.</w:t>
        <w:br/>
        <w:t>13. In this case, the destocked items purchased by the parties belong to the families of home products (furniture, bazaar and decoration, home textiles, lighting, and "tableware" products) and clothing (clothing, underwear, and shoes).</w:t>
        <w:br/>
        <w:t>14. Regarding the markets for the supply of destocked products, the Authority has considered that these markets are at least national in scope. Specifically regarding the markets for the supply of clothing and shoes, the markets have a global dimension.</w:t>
      </w:r>
    </w:p>
    <w:p>
      <w:r>
        <w:rPr>
          <w:b/>
        </w:rPr>
        <w:t>[Pages 4–6]</w:t>
      </w:r>
    </w:p>
    <w:p>
      <w:r>
        <w:t>15. In any event, the exact delimitation of these markets can be left open, as the conclusions of the competitive analysis remain unchanged regardless of the boundaries considered.</w:t>
      </w:r>
    </w:p>
    <w:p>
      <w:r>
        <w:t>3. COSTUME JEWELRY PRODUCTS</w:t>
        <w:br/>
        <w:t>16. Regarding the upstream market for the supply of jewelry, the Authority has recognized the existence of a market that includes both HBJO ("watches, jewelry, and goldsmithing") products and costume jewelry, without definitively resolving the issue.</w:t>
      </w:r>
    </w:p>
    <w:p>
      <w:r>
        <w:t>17. It has also considered that the market for the supply of HBJO jewelry and costume jewelry has a national dimension, without definitively resolving the issue.</w:t>
      </w:r>
    </w:p>
    <w:p>
      <w:r>
        <w:t>18. In any event, the exact delimitation of these markets can be left open, as the conclusions of the competitive analysis remain unchanged regardless of the boundaries considered.</w:t>
      </w:r>
    </w:p>
    <w:p>
      <w:r>
        <w:t>B. DOWNSTREAM MARKETS OF DISTRIBUTION</w:t>
        <w:br/>
        <w:t>1. NON-FOOD PRODUCTS</w:t>
        <w:br/>
        <w:t>a) Product Markets</w:t>
        <w:br/>
        <w:t>Segmentation by Product Family</w:t>
        <w:br/>
        <w:t>19. Regarding the distribution of non-food products, competition authorities traditionally distinguish as many markets as there are product families. They have thus identified sixteen product families: (i) women's clothing, (ii) men's clothing, (iii) children's clothing, (iv) underwear, (v) shoes, (vi) leather goods, (vii) sports textiles, (viii) sports shoes, (ix) electronics, (x) large electrical appliances, (xi) small electrical appliances, (xii) decoration and gardening products, (xiii) household linen, (xiv) lighting, (xv) toys, and (xvi) furniture. Indeed, within each of the markets thus defined, competition varies significantly due to the degree of specialization of a significant number of players in one or more product families.</w:t>
      </w:r>
    </w:p>
    <w:p>
      <w:r>
        <w:t>20. In this case, the overlapping activities of the parties mainly concern the product families "furniture," "women's clothing," and "household linen," and to a more marginal extent, the other product categories. In addition to these categories, the parties indicate that they are simultaneously active in the product categories "tableware" and "luggage/umbrellas."</w:t>
      </w:r>
    </w:p>
    <w:p>
      <w:r>
        <w:t>Segmentation by Distribution Channel</w:t>
        <w:br/>
        <w:t>21. Competition authorities have repeatedly questioned the relevance of segmentation in the retail sector of non-food products between distance selling ("VAD"), on the one hand, and in-store sales, on the other hand.</w:t>
      </w:r>
    </w:p>
    <w:p>
      <w:r>
        <w:t>22. In its opinion on the functioning of e-commerce, the Authority noted that traditional brands are adapting their commercial strategies to account for the growth of online sales by adopting a "multi-channel" distribution model that combines a network of physical stores and an online sales site. In this context, they either create their own website on which they offer, in addition to the products sold in-store, certain products at specific prices (distributors following the so-called "click &amp; mortar" model), or they create sites that develop their activities only online (according to the so-called "pure player" model).</w:t>
      </w:r>
    </w:p>
    <w:p>
      <w:r>
        <w:t>23. However, competition authorities have noted significant differences between VAD and in-store sales, particularly in the way VAD and "physical" sales distributors communicate and acquire customers. They have noted that, from the consumer's perspective, purchasing in-store offers the possibility to inspect the desired product and, if necessary, to benefit from the advice of a specialized salesperson. Moreover, the items presented are, most of the time, available immediately. Conversely, VAD has the advantage of allowing purchases at any time of the day and week, from one's place of residence. The European Commission has noted that each distribution channel presents various advantages and disadvantages and meets different consumer needs. To date, it considers that these two channels are more complementary than substitutable.</w:t>
      </w:r>
    </w:p>
    <w:p>
      <w:r>
        <w:t>24. However, the Authority concluded in its recent decision regarding the acquisition of Darty by Fnac that, concerning the retail distribution of brown and gray products, these differences tend to diminish significantly as brands present in both distribution channels adopt an "omni-channel" policy and that the internet has been integrated into the purchasing behavior of French consumers. The Authority thus concluded, following a thorough examination of the operation, that the market for the retail distribution of brown and gray products now includes both in-store sales and distance sales.</w:t>
      </w:r>
    </w:p>
    <w:p>
      <w:r>
        <w:t>25. In this case, the Galeries Lafayette group conducts its retail activities through its stores and its websites, although the VAD channel represents only a marginal part of its revenue (approximately […]% of the activities of the Galeries Lafayette group). La Redoute, for its part, conducts its retail activities primarily through its website and catalogs (which represent approximately […]% of La Redoute's activities), but also has 11 physical sales points (which represent approximately […]% of La Redoute's activities).</w:t>
      </w:r>
    </w:p>
    <w:p>
      <w:r>
        <w:t>26. For the purposes of this operation, the analysis will be conducted at the level of each of the relevant product categories across all distribution channels (in-store sales and VAD), but also on the sole channel of in-store sales, and on the sole channel of VAD, to the extent that the conclusions of the competitive analysis remain unchanged, regardless of the segmentations considered.</w:t>
      </w:r>
    </w:p>
    <w:p>
      <w:r>
        <w:t>b) Geographic Markets</w:t>
        <w:br/>
        <w:t>27. Regarding the segment of VAD for non-food products, competition authorities have retained, in previous decisions, a national delimitation, given the linguistic differences, the heterogeneity of consumer habits, as well as the costs and delivery times. On this segment, the analysis will therefore be conducted at the national level.</w:t>
      </w:r>
    </w:p>
    <w:p>
      <w:r>
        <w:t>28. Regarding in-store physical sales of non-food products, the Authority's decision-making practice considers that the analysis should be conducted on catchment areas at the local level. In previous decisions, it has been considered that, for this type of purchase, consumers were willing to make a car trip lasting 20 to 45 minutes to reach a store. However, this duration varies depending on the characteristics of each area, such as geography, population density, or the state of supply.</w:t>
      </w:r>
    </w:p>
    <w:p>
      <w:r>
        <w:t>29. For the purposes of this analysis, catchment areas corresponding to a driving distance of 20 minutes around the target stores in the Paris region and in the largest provincial cities, and to a driving distance of 30 minutes around the target stores located in the provinces (excluding large cities), have been delineated. However, the exact delimitation of the relevant catchment areas can be left open, as the conclusions of the competitive analysis remain unchanged, regardless of the assumptions made.</w:t>
      </w:r>
    </w:p>
    <w:p>
      <w:r>
        <w:t>30. Specifically regarding the Paris market, the Authority estimated in its aforementioned Fnac/Darty decision that it was appropriate to examine the effects on competition within catchment areas with a radius of 3 kilometers around stores located within Paris. These areas will therefore be studied in addition to the analysis on areas corresponding to a driving distance of 20 minutes around the target stores and a catchment area covering the entirety of Paris.</w:t>
      </w:r>
    </w:p>
    <w:p>
      <w:r>
        <w:t>31. In any event, the question of the exact definition of these markets can be left open as the conclusions of the competitive analysis remain unchanged, regardless of the boundaries considered.</w:t>
      </w:r>
    </w:p>
    <w:p>
      <w:r>
        <w:t>2. CLEARANCE PRODUCTS</w:t>
        <w:br/>
        <w:t>32. The decision-making practice of competition authorities considers that there is a market for the retail distribution of low-priced items in which stores specializing in clearance products operate.</w:t>
      </w:r>
    </w:p>
    <w:p>
      <w:r>
        <w:rPr>
          <w:b/>
        </w:rPr>
        <w:t>[Pages 7–9]</w:t>
      </w:r>
    </w:p>
    <w:p>
      <w:r>
        <w:t>the segment of in-store sales, regardless of the boundaries of the catchment areas considered.</w:t>
      </w:r>
    </w:p>
    <w:p>
      <w:r>
        <w:t>59. The operation also results in overlaps in activity in the cities of Lieusaint (77), Lyon (69), and Bron (Lyon region) where three La Redoute sales points opened in November and December 2017. In these various catchment areas, the new entity will, however, face the presence of numerous competitors, including the companies Ikea, Conforama, But, Fly, or Maisons du Monde.</w:t>
      </w:r>
    </w:p>
    <w:p>
      <w:r>
        <w:t>60. Finally, the parties consider that their combined market shares in the overall retail distribution market for home textiles (including in-store sales and mail-order) do not exceed [10-20]% in each of the catchment areas around the target's stores.</w:t>
      </w:r>
    </w:p>
    <w:p>
      <w:r>
        <w:t>61. Given these limited market shares and the presence of numerous competing players in the various examined areas, the operation is not likely to harm competition in the retail markets for home textiles.</w:t>
      </w:r>
    </w:p>
    <w:p>
      <w:r>
        <w:rPr>
          <w:b/>
        </w:rPr>
        <w:t>[Pages 10–12]</w:t>
      </w:r>
    </w:p>
    <w:p>
      <w:r>
        <w:t>the segment of in-store sales, regardless of the boundaries of the catchment areas considered.</w:t>
      </w:r>
    </w:p>
    <w:p>
      <w:r>
        <w:t>59. The operation is also expected to result in overlaps in activity in the cities of Lieusaint (77), Lyon (69), and Bron (Lyon region), in each of which La Redoute opened a sales point at the end of 2017. In these various catchment areas, the new entity will, however, face the presence of numerous competitors, including Ikea, Conforama, But, Fly, and Maisons du Monde.</w:t>
      </w:r>
    </w:p>
    <w:p>
      <w:r>
        <w:t>60. Finally, the parties consider that their combined market shares in the total market for the retail distribution of home textiles (including in-store sales and mail-order sales) do not exceed [10-20]% in each of the catchment areas around the target stores, except for the area within a 20-minute walking radius around the BHV/Marais store, where their combined market share remains below [10-20]%.</w:t>
      </w:r>
    </w:p>
    <w:p>
      <w:r>
        <w:t>61. Given the limited market shares of the parties at both the national and local levels, and the presence of numerous competitors in the various areas considered, the operation is not likely to harm competition in the markets for the retail sale of home textiles.</w:t>
      </w:r>
    </w:p>
    <w:p>
      <w:r>
        <w:t>Other Non-Food Products</w:t>
      </w:r>
    </w:p>
    <w:p>
      <w:r>
        <w:t>62. Regarding other product categories, the combined market shares of the parties are limited, regardless of the product category concerned, at both the national and local levels.</w:t>
      </w:r>
    </w:p>
    <w:p>
      <w:r>
        <w:t>63. At the national level, considering the mail-order channel through which La Redoute conducts the majority of its business, the combined market shares of the parties are as follows:</w:t>
      </w:r>
    </w:p>
    <w:p>
      <w:r>
        <w:t>Product Categories | Combined Market Shares of the Parties</w:t>
        <w:br/>
        <w:t>Children's Clothing | [5-10]%</w:t>
        <w:br/>
        <w:t>Shoes | [0-5]%</w:t>
        <w:br/>
        <w:t>Small Electrical Appliances | [5-10]%</w:t>
        <w:br/>
        <w:t>Large Electrical Appliances | [0-5]%</w:t>
        <w:br/>
        <w:t>Electronic Products | [0-5]%</w:t>
        <w:br/>
        <w:t>Women's Underwear and Lingerie | [0-5]%</w:t>
        <w:br/>
        <w:t>Men's Clothing | [0-5]%</w:t>
        <w:br/>
        <w:t>Sports Shoes | [0-5]%</w:t>
        <w:br/>
        <w:t>Bargain and Decoration Products | [0-5]%</w:t>
        <w:br/>
        <w:t>Lighting | [5-10]%</w:t>
        <w:br/>
        <w:t>Sports Textiles | [0-5]%</w:t>
        <w:br/>
        <w:t>Luggage and Umbrellas | [5-10]%</w:t>
        <w:br/>
        <w:t>Leather Goods | [5-10]%</w:t>
        <w:br/>
        <w:t>Toys | [0-5]%</w:t>
        <w:br/>
        <w:t>Tableware | [0-5]%</w:t>
      </w:r>
    </w:p>
    <w:p>
      <w:r>
        <w:t>64. At the local level, the operation will lead to overlaps in activity in Paris (75), Le Chesnay (78), Saint-Laurent-du-Var (06), Nantes (44), Lieusaint (77), Lyon (69), and Bron (69) for the only product categories of "bargain and decoration," "lighting," and "tableware."</w:t>
      </w:r>
    </w:p>
    <w:p>
      <w:r>
        <w:t>65. However, the parties consider that their market shares in each of these catchment areas, and for each of these product categories, do not exceed [10-20]% in the total retail distribution market (including in-store sales and mail-order sales), and [5-10]% when considering only the in-store sales channel.</w:t>
      </w:r>
    </w:p>
    <w:p>
      <w:r>
        <w:t>66. Consequently, the operation is not likely to harm competition in the markets for the retail sale of non-food products.</w:t>
      </w:r>
    </w:p>
    <w:p>
      <w:r>
        <w:t>2. CLEARANCE PRODUCTS</w:t>
      </w:r>
    </w:p>
    <w:p>
      <w:r>
        <w:t>At the National Level</w:t>
      </w:r>
    </w:p>
    <w:p>
      <w:r>
        <w:t>67. The parties estimate their market shares in the retail market for clearance products in mail-order sales to be less than 5% at the national level, regardless of the product categories concerned.</w:t>
      </w:r>
    </w:p>
    <w:p>
      <w:r>
        <w:t>At the Local Level</w:t>
      </w:r>
    </w:p>
    <w:p>
      <w:r>
        <w:t>68. The only city where the parties are simultaneously present in the retail market for clearance products is Roubaix (59), where there is a Lafayette Outlet store and a Les Aubaines (La Redoute) store. Nevertheless, the parties do not market the same categories of clearance products in this area, as the Lafayette Outlet store sells clothing, while the Les Aubaines store sells furniture and decoration items.</w:t>
      </w:r>
    </w:p>
    <w:p>
      <w:r>
        <w:t>69. Given the limited market shares of the parties at the national level and the absence of overlapping activities at the local level, the operation is not likely to harm competition in the markets for the retail sale of clearance products.</w:t>
      </w:r>
    </w:p>
    <w:p>
      <w:r>
        <w:t>3. COSTUME JEWELRY PRODUCTS</w:t>
      </w:r>
    </w:p>
    <w:p>
      <w:r>
        <w:t>70. The Galeries Lafayette group sells costume jewelry items through its stores and websites. La Redoute, for its part, sells costume jewelry items exclusively through mail-order.</w:t>
      </w:r>
    </w:p>
    <w:p>
      <w:r>
        <w:t>71. The parties estimate their market share in the retail market for costume jewelry items in mail-order sales to be less than 5% at the national level.</w:t>
      </w:r>
    </w:p>
    <w:p>
      <w:r>
        <w:t>72. Consequently, the operation is not likely to harm competition in the market for the sale of costume jewelry items.</w:t>
      </w:r>
    </w:p>
    <w:p>
      <w:r>
        <w:t>DECIDES</w:t>
      </w:r>
    </w:p>
    <w:p>
      <w:r>
        <w:t>Single Article: The operation notified under number 17-238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