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https://www.autoritedelaconcurrence.fr/fr/decision-de-controle-des-concentrations/relative-lacquisition-du-controle-exclusif-de-la-societe</w:t>
      </w:r>
    </w:p>
    <w:p>
      <w:r>
        <w:t>Pages translated : 3</w:t>
      </w:r>
    </w:p>
    <w:p/>
    <w:p>
      <w:r>
        <w:rPr>
          <w:b/>
        </w:rPr>
        <w:t>[Pages 1–3]</w:t>
      </w:r>
    </w:p>
    <w:p>
      <w:r>
        <w:t xml:space="preserve">FRENCH REPUBLIC  </w:t>
        <w:br/>
        <w:t xml:space="preserve">Decision No. 10-DCC-193 of December 16, 2010  </w:t>
        <w:br/>
        <w:t>regarding the acquisition of exclusive control of NeoElectra Group by Cube Energy SCA</w:t>
      </w:r>
    </w:p>
    <w:p>
      <w:r>
        <w:t xml:space="preserve">The Competition Authority,  </w:t>
        <w:br/>
        <w:t xml:space="preserve">Having regard to the notification file submitted in full to the merger service on November 16, 2010, regarding the acquisition of exclusive control of NeoElectra Group by Cube Energy SCA, formalized by a share transfer agreement dated November 15, 2010;  </w:t>
        <w:br/>
        <w:t xml:space="preserve">Having regard to Book IV of the Commercial Code relating to the freedom of prices and competition, and in particular its Articles L. 430-1 to L. 430-7;  </w:t>
        <w:br/>
        <w:t xml:space="preserve">Having regard to the supplementary elements provided by the parties during the investigation;  </w:t>
        <w:br/>
        <w:t>Adopts the following decision:</w:t>
      </w:r>
    </w:p>
    <w:p>
      <w:r>
        <w:t xml:space="preserve">I. The concerned companies and the operation  </w:t>
        <w:br/>
        <w:t xml:space="preserve">1. Cube Energy SCA (hereinafter "Cube Energy") is a company governed by Luxembourg law, held at more than [&gt;50]% by Cube Infrastructure Fund (hereinafter "Cube Infrastructure"), an investment fund managed by Natixis Environnement &amp; Infrastructure Luxembourg, which is itself indirectly controlled by BPCE, the holding company of the BPCE group. The BPCE group holds, through Cube Energy and three other portfolio companies owned by Cube Infrastructure, controlling interests in companies active in the energy sector, particularly in the fields of managing solar and wind energy parks, constructing and operating underwater fiber optic cables, managing waste-to-energy facilities, water distribution and sanitation, and designing and constructing water treatment plants.  </w:t>
        <w:br/>
        <w:t>2. NeoElectra Group (hereinafter "NeoElectra") is a company governed by French law, indirectly controlled by the American company Arclight Capital Partners. NeoElectra's activity consists of managing peak electricity production and cogeneration plants as well as heating and cooling systems.</w:t>
      </w:r>
    </w:p>
    <w:p>
      <w:r>
        <w:t xml:space="preserve">3. The proposed transaction involves the acquisition by the BPCE group, via Cube Energy, of the entire share capital and voting rights of NeoElectra. The transaction results in the exclusive control of NeoElectra by the BPCE group and thus constitutes a concentration within the meaning of Article L. 430-1 of the Commercial Code.  </w:t>
        <w:br/>
        <w:t>4. The companies concerned achieved a consolidated worldwide turnover, excluding taxes, of more than 150 million euros in 2009 (BPCE group: 21.2 billion euros; NeoElectra: […] million euros). Each of these companies achieved, in France, a turnover exceeding 50 million euros (BPCE group: 19.3 billion euros; NeoElectra: […] million euros). Considering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Competitive analysis  </w:t>
        <w:br/>
        <w:t xml:space="preserve">5. NeoElectra is active in France in the markets for delegated management of public service urban heating and cooling networks as well as in the market for heat production and supply. None of the companies directly or indirectly controlled by the BPCE group are present in these markets. The operation therefore does not result in any overlap of activities between the parties. Furthermore, given NeoElectra's low market share in each of these markets (less than [0-5]%), the operation is not likely to harm competition through vertical or conglomerate effects.  </w:t>
        <w:br/>
        <w:t xml:space="preserve">6. NeoElectra and the BPCE group are, on the other hand, simultaneously active in the French electricity production market. The parties argue that NeoElectra and the BPCE group are not present in the same markets, as NeoElectra produces electricity from fossil energy while the BPCE group produces, through two companies, Boralex and Fotosolarium, electricity from renewable energy (wind energy in France for Boralex and solar energy in Spain for Fotosolarium). Previous decision-making practice has left open the possibility of a sub-segmentation of the electricity production market by type of energy (nuclear, solar, wind, etc.)1.  </w:t>
        <w:br/>
        <w:t xml:space="preserve">7. It is not necessary to resolve this question within the framework of the analysis of the notified operation, as, regardless of the delimitation retained, the conclusions of the analysis remain unchanged. Indeed, with an electricity production in 2009 of 421 GWh and based on a total market estimated by the parties at 514,000 GWh, NeoElectra's market share is approximately [0-5]%. The BPCE group's market share, via Boralex, is approximately [0-5]% (200 GWh). Given these elements, the operation is not likely to harm competition in the French electricity production market.  </w:t>
        <w:br/>
        <w:t>1 See in particular the decision of the European Commission COMP/M.5366, Iberdrola Renovables/Gamesa of December 4, 2008, and the letter from the Minister of Economy, Finance and Industry dated December 7, 2006, to the board of the company Gaz and France and Maïa Sonier, regarding a concentration in the electricity sector.</w:t>
      </w:r>
    </w:p>
    <w:p>
      <w:r>
        <w:t xml:space="preserve">DECIDES  </w:t>
        <w:br/>
        <w:t xml:space="preserve">Sole Article: The operation notified under number 10-0210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