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https://www.autoritedelaconcurrence.fr/fr/decision-de-controle-des-concentrations/relative-lacquisition-du-controle-exclusif-de-six-fonds-de</w:t>
      </w:r>
    </w:p>
    <w:p>
      <w:r>
        <w:t>Pages translated : 14</w:t>
      </w:r>
    </w:p>
    <w:p/>
    <w:p>
      <w:r>
        <w:rPr>
          <w:b/>
        </w:rPr>
        <w:t>[Pages 1–3]</w:t>
      </w:r>
    </w:p>
    <w:p>
      <w:r>
        <w:t>FRENCH REPUBLIC</w:t>
        <w:br/>
        <w:t>Decision No. 18-DCC-119 of July 18, 2018</w:t>
        <w:br/>
        <w:t>regarding the acquisition of exclusive control of six off-network retail petroleum product businesses by Total Marketing France</w:t>
        <w:br/>
        <w:t>The Competition Authority,</w:t>
        <w:br/>
        <w:t>Having regard to the notification file submitted in full to the concentrations service on June 15, 2018, regarding the acquisition of six off-network retail petroleum product businesses by Total Marketing France, formalized by six partial business transfer promises dated December 21, 2017;</w:t>
        <w:br/>
        <w:t>Having regard to Book IV of the Commercial Code relating to price and competition freedom, and in particular its Articles L. 430-1 to L. 430-7;</w:t>
        <w:br/>
        <w:t>Having regard to the supplementary elements transmitted by the notifying party during the investigation;</w:t>
        <w:br/>
        <w:t>Adopts the following decision:</w:t>
        <w:br/>
        <w:t>I. The concerned companies and the operation</w:t>
        <w:br/>
        <w:t>1. The company Total Marketing France (hereinafter "TMF") is a simplified joint-stock company wholly owned by Total SA, the parent company of the Total group (hereinafter "Total"). Total is an international group present throughout the entire logistics chain of the petroleum industry, from upstream (exploration, development, and production of oil and natural gas and liquefied natural gas) to downstream (refining, storage, petrochemicals, specialty chemicals, trading and transport of crude oil and petroleum products, distribution). The Total group is also active in the renewable energy sector, both through the production of solar panels and through the generation of energy from renewable sources.</w:t>
        <w:br/>
        <w:t>2. The company Worex is a 99.9% subsidiary of Esso SAF, itself a subsidiary of the ExxonMobil group, specializing in the marketing of petroleum products, particularly domestic heating oil, non-road diesel, and motor diesel.</w:t>
      </w:r>
    </w:p>
    <w:p>
      <w:r>
        <w:t>3. The proposed operation consists of the acquisition by TMF of six business assets corresponding to the off-network distribution activity of domestic heating oil, non-road diesel, and motor diesel, delivered by its own means, from Worex (activity otherwise referred to as "Consumers delivered by own means"). The operation includes, in particular, the acquisition of the customer base, contracts, and commercial leases associated with 17 commercial agencies distributed across the metropolitan territory, 15 network depots (of which 7 are fully owned) as well as 61 vehicles (of which 51 are fully owned).</w:t>
        <w:br/>
        <w:t>4. As it constitutes an exclusive control of Worex's assets by TMF, the notified operation constitutes a concentration within the meaning of Article L. 430-1 of the Commercial Code.</w:t>
        <w:br/>
        <w:t>5. The concerned companies together achieve a total worldwide turnover excluding taxes of more than 150 million euros (TMF: […] billion euros for the fiscal year ending December 31, 2017; target assets: [&lt;150] million euros for the same fiscal year). Each of these companies has achieved a turnover in France exceeding 50 million euros (TMF: [&gt;50] million euros for the fiscal year ending December 31, 2017; target assets: [&gt;50] million euros for the same fiscal year).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Definition of relevant markets</w:t>
        <w:br/>
        <w:t>6. Within the petroleum industry, the French and European competition authorities generally distinguish between "upstream" and "downstream" activities. Upstream activities consist of three types of activities: exploration (the search for new reserves), development (the establishment of necessary infrastructures for production: oil platforms, pipelines, terminals, etc.) and production (the commercial exploitation of these reserves). "Downstream" activities include, for their part, the refining of crude oil, as well as the marketing of refined products and their distribution to end users.</w:t>
        <w:br/>
        <w:t>7. The operation concerns "downstream" petroleum activities insofar as the parties to the operation are simultaneously present in the sectors (i) of petroleum product storage and (ii) of off-network sales of domestic heating oil ("FOD"), non-road diesel ("GNR") and, to a lesser extent, motor diesel ("GOM").</w:t>
        <w:br/>
        <w:t>1 See in particular the letter from the Minister of Economy, Finance and Industry C2006-37 of April 19, 2006, VERMILION / ESSO, the decisions of the Competition Authority 09-DCC-59 of October 26, 2009, regarding the acquisition of 37 service stations from the Shell network by Total Raffinage Marketing SA, 11-DCC-102 of June 30, 2011, regarding the acquisition of the Antillean Petroleum Company Chevron by the Rubis group and 12-DCC-53 of April 24, 2012, regarding the acquisition of the business assets of the West Indies Petroleum Company by the Antillean Petroleum Company, as well as the decisions of the European Commission COMP/M.1383 of September 29, 1999, Exxon/Mobil, COMP/M.1464 of March 26, 1999, Total/PetroFina and COMP/M.1628 of February 9, 2000, TotalFina/Elf.</w:t>
        <w:br/>
        <w:t>2</w:t>
      </w:r>
    </w:p>
    <w:p>
      <w:r>
        <w:t>A. THE MARKET FOR PETROLEUM PRODUCT STORAGE</w:t>
        <w:br/>
        <w:t>1. PRODUCT MARKET</w:t>
        <w:br/>
        <w:t>8. European and national practice has thus defined the storage of refined products: "storage constitutes a service carried out through depots intended for the reception and distribution of refined products (gasoline, diesel, domestic fuel oil) and consists of making available to oil operators (refiners, independents, and large retailers), through lease contracts, a portion of the depot's reception capacity to allow operators to store, in this case, their own product."</w:t>
        <w:br/>
        <w:t>9. It has distinguished import depots, generally located along the coastline to facilitate easy supply by means of mass transport, from network depots which are located within the territory. These depots are distinguished by their storage capacity, with import depots able to store larger volumes than network depots. Import depots may also serve, in certain cases, as distribution depots, with customers coming directly to supply themselves from these depots.</w:t>
        <w:br/>
        <w:t>10. Furthermore, in their previous practice, the Commission and the Minister of Economy have taken into account the open or closed nature of depots, excluding from the market storage capacities that cannot be leased to third parties.</w:t>
        <w:br/>
        <w:t>11. There is no reason to challenge this delimitation in the context of the present operation.</w:t>
        <w:br/>
        <w:t>12. In this case, the target assets include 15 network depots distributed throughout the French territory. However, these are "closed" depots used exclusively for the target's own needs, excluding any leasing of capacity to third parties. In these circumstances, the effects of the operation on the market for petroleum product storage will be examined solely in terms of vertical effects, any horizontal competition issues in this market being dismissed.</w:t>
        <w:br/>
        <w:t>2. GEOGRAPHICAL MARKET</w:t>
        <w:br/>
        <w:t>13. The decision-making practice of the European Commission and the Minister of Economy has established a catchment area of 150 km around the network depot to define the relevant market, since "each depot is likely to serve a catchment area […] whose radius depends on the transportation costs to be incurred for delivering the product to the final destination. These costs may vary according to the different means of transport available. However, on average, the delivery area of a depot rarely extends beyond 150 kilometers."</w:t>
        <w:br/>
        <w:t>14. There is no reason to challenge this delimitation in the context of the present operation.</w:t>
        <w:br/>
        <w:t>2 Decision COMP/M.1464, Total Petrofina, decision of the Competition Council No. 03-D-41 of August 4, 2003, and Letter from the Minister of August 27, 2008, to the advisors of Macquarie.</w:t>
        <w:br/>
        <w:t>3 See the letter from the Minister of Economy dated May 5, 1999, to the CEO of Total regarding a concentration in the petroleum product storage sector, and the decision of the Commission COMP/M.1464 Total/Petrofina mentioned above.</w:t>
        <w:br/>
        <w:t>4 These depots are located respectively in Bosville (76), Ennezis (27), Neuville-lès-Dieppe (76), Neufchâtel-en-Bray (76), Saint-Lô (50), Tourlaville (50), Beauvais (60), Dinan (22), Pleyben (29), Niort (79), Le Tallud (79), Saint-Georges-des-Groseillers (61), Albi (81), La Garde (83), and Beaune (21).</w:t>
        <w:br/>
        <w:t>5 See the decision COMP/M.1464 and the letter from the Minister of August 27, 2008, to the advisors of Macquarie mentioned above.</w:t>
      </w:r>
    </w:p>
    <w:p>
      <w:r>
        <w:rPr>
          <w:b/>
        </w:rPr>
        <w:t>[Pages 4–6]</w:t>
      </w:r>
    </w:p>
    <w:p>
      <w:r>
        <w:t>B. THE MARKET FOR OFF-NETWORK SALES OF PETROLEUM PRODUCTS</w:t>
        <w:br/>
        <w:t>15. In terms of the marketing of refined products, competition authorities distinguish two relevant markets: sales through service station networks and so-called "off-network" sales6.</w:t>
        <w:br/>
        <w:t>16. In this case, TMF and the divested assets are simultaneously present in the off-network market for petroleum product sales as they both distribute domestic heating oil, non-road diesel, and motor diesel through deliveries made by truck fleets.</w:t>
      </w:r>
    </w:p>
    <w:p>
      <w:r>
        <w:t>1. PRODUCT MARKET</w:t>
        <w:br/>
        <w:t>17. Within the off-network petroleum product sales market, a segmentation based on customer type has been considered between, on the one hand, "wholesale" sales to resellers such as large retailers, independent oil operators, and traders, and, on the other hand, "retail" sales to professional users who are supplied with varying quantities of fuels (transport companies, industries, car rental agencies, etc.)7.</w:t>
        <w:br/>
        <w:t>18. Furthermore, both national and European competition authorities have considered that the off-network sale of each refined product constitutes a distinct market8, which should not be called into question in the context of the present operation.</w:t>
        <w:br/>
        <w:t>19. The Commission has also considered that cargo sales should be subject to a separate competitive analysis9. These refer to large volumes delivered to wholesalers, traders, and retailers, directly from the refinery, by means of so-called "primary" or "mass" transport (i.e., by rail, pipeline, boat, or barge) to the customers' storage depots10.</w:t>
        <w:br/>
        <w:t>20. In this case, the parties are simultaneously present in the off-network retail market for petroleum products.</w:t>
      </w:r>
    </w:p>
    <w:p>
      <w:r>
        <w:t>2. GEOGRAPHICAL MARKET</w:t>
        <w:br/>
        <w:t>21. The Commission has determined that the market for off-network petroleum product sales has a regional11, national12, or even supranational13 dimension depending on the member states considered.</w:t>
      </w:r>
    </w:p>
    <w:p>
      <w:r>
        <w:t>Regarding France, it has repeatedly considered that "with respect to off-network sales, demand generally relies on light transport means, whose range is limited to a distance of 100-150 km. From these considerations, it follows that the place of confrontation between supply and demand appears geographically narrow and may be limited to a regional territory. [...] Specifically regarding the French market, the supply tool for the territory in fuels, constituted by the source of the product (refineries and oil ports) and the logistics of transport and storage, is arranged in such a way that it reveals the existence of different geographical markets for off-network sales. [...] The current French system allows for the distinction of six geographical zones for the supply of refined petroleum products." The Commission has identified the following six zones: the South zone14, the East zone15, the North zone16, the Normandy and Paris region17, the Grand West and Center zone18, and the Rhône-Burgundy zone19.</w:t>
        <w:br/>
        <w:t>22. Finally, regarding off-network retail sales, although the question of the exact delimitation of the market has been left open, an analysis at the departmental level has been conducted by the Competition Authority20.</w:t>
        <w:br/>
        <w:t>23. Concerning Île-de-France, the parties argue that the analysis should be conducted at the regional level due to the existence of a network of primary depots allowing retailers to supply and serve customers throughout Île-de-France. Moreover, the notifying party emphasizes that there is no depot within Paris and that the city must therefore necessarily be supplied from depots located in the periphery, particularly in the departments of Hauts de Seine (92) and Val-de-Marne (94). Finally, the Authority considered in its decision Bolloré/Pétroplus21 that customers in Hauts-de-Seine source domestic heating oil at retail from the neighboring departments of Essonne and Yvelines. A number of respondents to the market test also confirmed that in Île-de-France a regional approach would be more appropriate than a departmental approach.</w:t>
        <w:br/>
        <w:t>24. In this case, the analysis will be conducted at both the regional and departmental levels. In any event, the exact delimitation of the off-network retail distribution market for petroleum products may be left open, as the conclusions of the competitive analysis remain unchanged regardless of the segmentation adopted.</w:t>
      </w:r>
    </w:p>
    <w:p>
      <w:r>
        <w:t>III. Competitive Analysis</w:t>
        <w:br/>
        <w:t>25. The activities of TMF and the target assets overlap in the off-network retail market to the extent that both TMF and the target distribute domestic heating oil, non-road diesel, and motor diesel at retail to end users (primarily individuals, farmers, and professionals) delivered by "small carrier" trucks with a capacity ranging from 6 to 19 m3. The target, however, is not active in the refining market nor in the wholesale off-network sales segment (notably "cargo" sales). The competitive analysis will therefore be conducted on the off-network retail market of petroleum products, for each category of products concerned, namely FOD, GNR, and GOM at the horizontal level.</w:t>
        <w:br/>
        <w:t>26. Furthermore, as TMF is active in the petroleum product storage market, the analysis will also be conducted at the vertical level on the markets for petroleum product storage and wholesale off-network sales of petroleum products.</w:t>
      </w:r>
    </w:p>
    <w:p>
      <w:r>
        <w:t>1. HORIZONTAL EFFECTS</w:t>
        <w:br/>
        <w:t>27. The activities of the parties overlap in the off-network retail distribution market for FOD, GNR, and GOM in the six regions identified by decision-making practice, specifically in about forty departments within these regions.</w:t>
        <w:br/>
        <w:t>28. The size of these different markets (expressed in km3*), at the regional and departmental levels, has been estimated by the notifying party based on the sales declarations of authorized warehouses, department by department, as reported in the most recent report published by the Professional Petroleum Committee ("CPDP")22.</w:t>
        <w:br/>
        <w:t>29. It should be noted that while the CPDP data concerns sales made to end customers, it may also pertain to sales made to reseller traders who may resell the fuel in a department different from that of the initial billing location. Consequently, the parties have reprocessed the CPDP data by reallocating a portion of the sales made by their own distribution subsidiaries based on the final consumption location of the fuel. Similarly, TMF has reallocated, where possible, the sales it makes to reseller traders to avoid these being counted in the off-network retail sales.</w:t>
        <w:br/>
        <w:t>30. In the Paris region, the parties have also estimated the market size based on CPDP data, except for estimates concerning inner Paris. Indeed, as the declarations to the CPDP generally take into account the address of the headquarters of the resellers and as no reseller has, to the Authority's knowledge, its headquarters in Paris, the CPDP data for this city is particularly approximate and notably has the effect of underestimating the market size. The parties' market share estimates in Paris have therefore been determined by the parties based on their market knowledge.</w:t>
        <w:br/>
        <w:t>31. Finally, the market size estimates provided by the parties have been corroborated by the results of the market test conducted in several test departments. These results have allowed...</w:t>
      </w:r>
    </w:p>
    <w:p>
      <w:r>
        <w:t>*[Correction of material error]</w:t>
      </w:r>
    </w:p>
    <w:p>
      <w:r>
        <w:rPr>
          <w:b/>
        </w:rPr>
        <w:t>[Pages 7–9]</w:t>
      </w:r>
    </w:p>
    <w:p>
      <w:r>
        <w:t>to confirm the reliable and credible nature of the estimates provided by the parties, which could consequently serve as a basis for the competitive analysis.</w:t>
      </w:r>
    </w:p>
    <w:p>
      <w:r>
        <w:t>a) At the national level</w:t>
      </w:r>
    </w:p>
    <w:p>
      <w:r>
        <w:t>32. In the off-network retail markets, TMF's market shares are [20-30]% (FOD), [20-30]% (GNR), and [30-40]% (GOM) at the national level. The target's market shares are [0-5]% (FOD), [0-5]% (GNR), and [0-5]% (GOM), resulting in a combined market share of the parties after the operation of [20-30]% (FOD), [30-40]% (GNR), and [30-40]% (GOM) at the national level.</w:t>
      </w:r>
    </w:p>
    <w:p>
      <w:r>
        <w:t>33. In these markets, the parties face competition from independent groups of national scope such as Bolloré Energy, Picoty, or Thevenin &amp; Ducrot. The notifying party also claims that large food retail companies, notably Carfuel (Carrefour group), Fioul E. Leclerc, and Petrovex (Auchan group), are very active in the off-network retail market for FOD.</w:t>
      </w:r>
    </w:p>
    <w:p>
      <w:r>
        <w:t>34. Given the above, particularly the limited market shares of the target, the operation is not likely to harm competition in the off-network market for petroleum products at the national level.</w:t>
      </w:r>
    </w:p>
    <w:p>
      <w:r>
        <w:t>b) At the regional and departmental level</w:t>
      </w:r>
    </w:p>
    <w:p>
      <w:r>
        <w:t>35. At the regional level, the parties are simultaneously present in all six areas defined by decision-making practice, namely the South, North, East, Rhône-Bourgogne, Grand Ouest, and Centre areas, as well as in the Normandy area and the Paris region.</w:t>
      </w:r>
    </w:p>
    <w:p>
      <w:r>
        <w:t>36. To assess the effects of the notified operation on the off-network retail markets for FOD and GNR, the Competition Authority notably relied on the parties' market share estimates at the regional and departmental levels, in accordance with decision-making practice.</w:t>
      </w:r>
    </w:p>
    <w:p>
      <w:r>
        <w:t>37. In this regard, the guidelines of the Competition Authority specify in point 397 that "the existence of large market shares is an important element in assessing a company's market power. High post-operation market shares, on the order of 50% or more, may suggest the existence of significant market power."</w:t>
      </w:r>
    </w:p>
    <w:p>
      <w:r>
        <w:t>38. Regarding the distribution of GOM, any competition issue can be excluded as the target's market shares are below [0-5]% regardless of the geographical delimitation considered, except in the department of Deux-Sèvres (79) where the target's market share is [0-5]%. However, even in this department, the operation is not likely to raise difficulties as the increment is very limited and the combined market share of the parties remains below [30-40]%.</w:t>
      </w:r>
    </w:p>
    <w:p>
      <w:r>
        <w:t>• At the level of the South area</w:t>
      </w:r>
    </w:p>
    <w:p>
      <w:r>
        <w:t>39. In the South area, the combined market share of the parties does not exceed [20-30]% for FOD and [20-30]% for GNR. The market share increment is below [0-5] points regardless of the market considered. Furthermore, the new entity will continue to face competition from numerous players in this area, particularly from national players such as Bolloré Energy and Thevenin &amp; Ducrot, as well as from regional players like ESLC, Dyneff, Fioul 83, and Deldossi, or from large food retail chains.</w:t>
      </w:r>
    </w:p>
    <w:p>
      <w:r>
        <w:t>40. At the departmental level, the activities of the parties overlap in Bouches-du-Rhône (13), Tarn (81), Tarn-et-Garonne (82), and Var (83).</w:t>
      </w:r>
    </w:p>
    <w:p>
      <w:r>
        <w:t>41. Regarding Bouches-du-Rhône (13), Tarn-et-Garonne (82), and Var (83), the combined market shares of the parties are below 30% and the increment is below 5 points, regardless of the market considered. In these departments, the new entity will face significant national and regional competitors, notably Mollar and ESLC in Bouches-du-Rhône; Thevenin &amp; Ducrot, Fioul83, Petrograde, and ESLC in Var; Louda, Deldossi, Delmas, and Jouanny in Tarn-et-Garonne, as well as large food retail chains, so any risk of harming competition following the operation can be ruled out.</w:t>
      </w:r>
    </w:p>
    <w:p>
      <w:r>
        <w:t>42. In the department of Tarn (81), TMF's share in the off-network retail distribution market for FOD is estimated at [30-40]% and that of the target at [0-5]%, resulting in a combined market share of [40-50]%.</w:t>
      </w:r>
    </w:p>
    <w:p>
      <w:r>
        <w:t>43. In this case, the target's depot is located in Albi. Within a radius of 30 km around this depot, there are also two depots operated by TMF, through its subsidiary Alvéa, located in Albi and Graulhet, respectively. In this area, the parties, however, face competition from at least eight competitors, particularly two Leclerc retail outlets located in Albi and Gaillac, significant local players such as Hydrocarbures Midi-Pyrénées, located near Lisle-sur-Tarn, and Boudret, located in Carmaux, and at least four other smaller independent players. All of these competitors thus constitute a credible and sufficient alternative to the new entity in the area in question.</w:t>
      </w:r>
    </w:p>
    <w:p>
      <w:r>
        <w:t>44. Regarding the off-network retail market for GNR in Tarn, the combined market share of the parties is [30-40]% with an increment below [0-5] points.</w:t>
      </w:r>
    </w:p>
    <w:p>
      <w:r>
        <w:t>45. In these circumstances, the operation is not likely to generate competition issues in the South area, regardless of the geographical definition of the market retained.</w:t>
      </w:r>
    </w:p>
    <w:p>
      <w:r>
        <w:t>• At the level of the North area</w:t>
      </w:r>
    </w:p>
    <w:p>
      <w:r>
        <w:t>46. In the North area, the combined market share of the parties does not exceed [30-40]% for FOD and [30-40]% for GNR. The market share increment is below [0-5] points regardless of the market considered. Furthermore, the new entity will continue to face competition from numerous players in this area, particularly from national players such as Bolloré Energy as well as regional players like Barbier and Guillemont or from large food retail chains.</w:t>
      </w:r>
    </w:p>
    <w:p>
      <w:r>
        <w:t>47. At the departmental level, the activities of the parties overlap in Nord (59), Oise (60), Pas-de-Calais (62), and Somme (80). In all of these departments, the combined market shares of the parties are below [30-40]% and the increment is below 5 points regardless of the market considered, except for the GNR market in Oise where the combined market share of the parties is [30-40]% but where the increment is below [0-5] points. In these departments, the new entity will face significant national and regional competitors, notably Bolloré Energy, Blanquart, and Duminil in Pas-de-Calais; Campus, Decaux, and Rochy Condé in Oise; Guillemont, Barbier Boutieux, and Flandre Energies in Somme; Bolloré Energy, Marissael, and Farez in Nord as well as large food retail chains.</w:t>
      </w:r>
    </w:p>
    <w:p>
      <w:r>
        <w:t>48. In these circumstances, the operation is not likely to generate competition issues in the North area, regardless of the geographical definition of the market retained.</w:t>
      </w:r>
    </w:p>
    <w:p>
      <w:r>
        <w:t>• At the level of the East area</w:t>
      </w:r>
    </w:p>
    <w:p>
      <w:r>
        <w:t>49. In the East area, the combined market share of the parties does not exceed [20-30]% for FOD and [30-40]% for GNR. The market share increment is below [0-5] points regardless of the market considered. Furthermore, the new entity will continue to face competition from numerous players in this area, particularly from national players such as Bolloré Energy and Thevenin &amp; Ducrot, as well as from regional players like Europe Energie Fioul, Alliance Fioul, or Kleck or from large food retail chains.</w:t>
      </w:r>
    </w:p>
    <w:p>
      <w:r>
        <w:t>50. At the departmental level, the activities of the parties overlap only in Aube (10). In this department, TMF's share in the off-network retail distribution market for FOD is estimated at [30-40]% and that of the target at [5-10]%, resulting in a combined market share of [40-50]%.</w:t>
      </w:r>
    </w:p>
    <w:p>
      <w:r>
        <w:t>51. In this case, the target's commercial agency is located in Saint-Julien-les-Villas23. Within a radius of 30 km around this agency, there is also a depot operated by TMF, through its subsidiary CPE, located in La-Chapelle-Saint-Luc. In this area, the parties face competition from at least five competitors, particularly a Leclerc retail outlet located in Saint-Parres-aux-Ternes, a Carrefour retail outlet located in La-Chapelle-Saint-Luc, significant national players such as Thevenin &amp; Ducrot, located near La-Chapelle-Saint-Luc, and Bolloré Energy, located in Bar-sur-Seine, and at least one other independent player, Guerin et Fils, located in Pont-Sainte-Marie. All of these competitors thus constitute a credible and sufficient alternative to the new entity in the area in question.</w:t>
      </w:r>
    </w:p>
    <w:p>
      <w:r>
        <w:t>52. Regarding the off-network retail market for GNR in Aube, the combined market share of the parties is estimated at [30-40]%, with an increment below [0-5] points.</w:t>
      </w:r>
    </w:p>
    <w:p>
      <w:r>
        <w:t>53. In these circumstances, the operation is not likely to generate competition issues in the East area, regardless of the geographical definition of the market retained.</w:t>
      </w:r>
    </w:p>
    <w:p>
      <w:r>
        <w:t>• At the level of the Rhône-Bourgogne area</w:t>
      </w:r>
    </w:p>
    <w:p>
      <w:r>
        <w:t>54. In the Rhône-Bourgogne area, the combined market share of the parties is [20-30]% for FOD and [30-40]% for GNR. The market share increment is below [0-5] points regardless of the market considered. Furthermore, in this area, the new entity will continue to face competition from numerous players, particularly national ones like Bolloré Energy and Thevenin &amp; Ducrot, as well as from a large number of regional and local players, or from large food retail chains.</w:t>
      </w:r>
    </w:p>
    <w:p>
      <w:r>
        <w:t>55. At the departmental level, the activities of the parties overlap in Ain (01), Côte d’Or (21), Isère (38), Loire (42), and Rhône (69).</w:t>
      </w:r>
    </w:p>
    <w:p>
      <w:r>
        <w:t>56. In the departments of Côte d’Or, Isère, and Rhône, the combined market share of the parties is below [30-40]% regardless of the market considered.</w:t>
      </w:r>
    </w:p>
    <w:p>
      <w:r>
        <w:t>57. In Ain, the combined market share of the parties reaches [40-50]% for the distribution of FOD and [40-50]% for the distribution of GNR. However, the target does not have a depot in this department and is present there in a completely marginal manner, resulting in an increment below [0-5] points regardless of the market considered. Regarding Loire, finally, the combined market share of the parties is [30-40]% for the distribution of FOD and [40-50]% for GNR. The market share increment is, however, again marginal, and in any case below [0-5] points.</w:t>
      </w:r>
    </w:p>
    <w:p>
      <w:r>
        <w:rPr>
          <w:b/>
        </w:rPr>
        <w:t>[Pages 10–12]</w:t>
      </w:r>
    </w:p>
    <w:p>
      <w:r>
        <w:t>58. In these departments, the parties will face competition from national players such as Bolloré Energy and Thevenin &amp; Ducrot, but also from a significant number of local players such as Gagneux and Faucher Crost in Ain, Piretti Varois and Chaignot in Côte d'Or, Carron, Touvet Combustibles in Isère, Dutrieux and Granjon Combustibles in Loire, ESLC, Berbard, Granjon Fournel or Taravel in Rhône, as well as from large food retail chains.</w:t>
      </w:r>
    </w:p>
    <w:p>
      <w:r>
        <w:t>59. In these circumstances, the operation is not likely to raise competition issues in the Rhône-Bourgogne area, regardless of the geographical delineation of the markets considered.</w:t>
      </w:r>
    </w:p>
    <w:p>
      <w:r>
        <w:t>• At the level of the Grand Ouest and Centre area</w:t>
      </w:r>
    </w:p>
    <w:p>
      <w:r>
        <w:t>60. At the level of the Grand Ouest and Centre area, the combined market share of the parties is [20-30]% for the distribution of FOD and [30-40]% for GNR. The market share increment is [0-5] points regardless of the market considered. Furthermore, the new entity will continue to face competition from numerous players in this area, particularly from national players such as Bolloré Energy and Picoty, as well as regional players like Armorine, Sicarbu, or Dyneff, or from large food retail chains.</w:t>
      </w:r>
    </w:p>
    <w:p>
      <w:r>
        <w:t>61. At the departmental level, the activities of the parties overlap in Charente Maritime (17), Côtes d’Armor (22), Eure-et-Loir (28), Gironde (33), Ille-et-Vilaine (35), Indre-et-Loire (37), Loir-et-Cher (41), Morbihan (56), Deux Sèvres (79), Vendée (85), and Vienne (86).</w:t>
      </w:r>
    </w:p>
    <w:p>
      <w:r>
        <w:t>62. Regarding Charente Maritime (17), Côtes d’Armor (22), Eure-et-Loir (28), Finistère (29), Gironde (33), Ille-et-Vilaine (35), Indre-et-Loire (37), Loir-et-Cher (41), Deux-Sèvres (79), Vendée (85), and Vienne (86), the combined market shares of the parties are below 40%.</w:t>
      </w:r>
    </w:p>
    <w:p>
      <w:r>
        <w:t>63. In these departments, the new entity will face competition from national operators, particularly Bolloré Energy and Picoty, but also from significant regional operators such as the Armorine group and Sicurbu, a subsidiary of the cooperative group Triskalia, capable of exerting effective competition on the new entity. Additionally, one must consider the large food retail chains, particularly Leclerc, through the company Bretagne Multi Énergies.</w:t>
      </w:r>
    </w:p>
    <w:p>
      <w:r>
        <w:t>64. Regarding Finistère (29), TMF's share in the off-network retail distribution market of GNR is estimated at [40-50]% and that of the target at [0-5]%, resulting in a combined market share of [40-50]%. For the off-network retail distribution markets of FOD, the combined market share of the parties is [30-40]%, with an increment of less than [0-5] points.</w:t>
      </w:r>
    </w:p>
    <w:p>
      <w:r>
        <w:t>65. In this department, the target has only one depot located in Pleyben. Within a radius of 30 km around it, there are at least 8 competitors including Bolloré Energy, also located in Pleyben, two Leclerc sales points in Châteaulin and Châteauneuf-du-Faou, and a Sicarbu sales point in the municipality of Plonevez-du-Faou less than 20 km from the target's depot. There is also a Gamm Vert sales point in this area and at least 4 other independent distributors. The nearest TMF depot is located in Gourin, in the Morbihan department, more than 30 km from the target's depot. In these circumstances, the operation is not likely to harm competition in Finistère given the existence of a large number of credible competitors around the target's depot.</w:t>
      </w:r>
    </w:p>
    <w:p>
      <w:r>
        <w:t>66. Regarding Morbihan (56), TMF's share in the off-network retail distribution market of GNR is estimated at [30-40]% and that of the target at [0-5]%, resulting in a combined market share of [40-50]%. For the off-network retail distribution markets of FOD, the combined market share of the parties is [30-40]%.</w:t>
      </w:r>
    </w:p>
    <w:p>
      <w:r>
        <w:t>67. In this department, however, the target has no depot. The quantities of FOD and GNR it delivers in Morbihan are taken from the oil depot in Lorient24, where Esso S.A.F. leases storage capacities.</w:t>
      </w:r>
    </w:p>
    <w:p>
      <w:r>
        <w:t>68. In the area around the oil depot in Lorient, there are a large number of competitors including Bolloré Energy, as well as significant regional companies like Armorine, headquartered in Lorient, and Brétéché Ouest. There is also a Leclerc sales point and a Carrefour sales point in Lorient, as well as at least three independent distributors. In these circumstances, the operation is not likely to harm competition in Morbihan given the existence of a large number of credible competitors in the area surrounding the oil depot in Lorient.</w:t>
      </w:r>
    </w:p>
    <w:p>
      <w:r>
        <w:t>69. In these circumstances, the operation is not likely to raise competition issues in the Grand Ouest and Centre area, regardless of the geographical delineation of the markets considered.</w:t>
      </w:r>
    </w:p>
    <w:p>
      <w:r>
        <w:t>• At the level of the Normandy and Paris region</w:t>
      </w:r>
    </w:p>
    <w:p>
      <w:r>
        <w:t>70. At the level of the Normandy and Paris region, in the FOD market, the market shares of TMF and the target are [20-30]% and [5-10]% respectively, resulting in a combined share of [20-30]%. In the GNR market, the combined market share of the parties is [20-30]% with an increment of [0-5] points. The new entity will continue to face competition from numerous players, such as Thevenin &amp; Ducrot, Picoty, Dyneff, and Bolloré Energy, as well as from large food retail chains.</w:t>
      </w:r>
    </w:p>
    <w:p>
      <w:r>
        <w:t>71. At the departmental level, the activities of the parties overlap in Calvados (14), Eure (27), Manche (50), Orne (61), Seine Maritime (76), as well as in all departments of Île-de-France: Paris (75), Seine-et-Marne (77), Yvelines (78), Essonne (91), Hauts-de-Seine (92), Seine-Saint-Denis (93), Val-de-Marne (94), and Val d’Oise (95).</w:t>
      </w:r>
    </w:p>
    <w:p>
      <w:r>
        <w:t>72. Normandy. Regarding the departments of Calvados (14), Eure (27), Manche (50), Orne (61), and Seine Maritime (76), the combined market shares of the parties in the distribution of FOD and GNR do not exceed 40% regardless of the market considered.</w:t>
      </w:r>
    </w:p>
    <w:p>
      <w:r>
        <w:t>73. In these departments, the new entity will continue to face competition from numerous players, notably from Bolloré Energy, which is particularly well established in this region following the acquisition of Les Combustibles de Normandie in 201125. Bolloré's market share is thus estimated by the notifying party to be between [20-30]% and [30-40]% depending on the departments considered.</w:t>
      </w:r>
    </w:p>
    <w:p>
      <w:r>
        <w:t>74. Alongside Bolloré Energy, there are many regional and local players as well as large food retail chains (notably Leclerc), so any risk of harm to competition resulting from the operation can be excluded.</w:t>
      </w:r>
    </w:p>
    <w:p>
      <w:r>
        <w:t>75. Île-de-France. Regarding Île-de-France, the combined market share of the parties does not exceed [30-40]% at the regional level with an increment of less than 5 points. The parties will face competition from a large number of national players such as Bolloré and Campus (a subsidiary of the Picoty group) or regional players such as Popihn, Leverger Combustible, and Long Chauffage.</w:t>
      </w:r>
    </w:p>
    <w:p>
      <w:r>
        <w:t>76. As specified in point 23 above, regarding Île-de-France, the analysis was conducted at the regional level due to the competition exerted by neighboring departments. In this regard, it should be noted that the target has only one depot supplying all departments of Île-de-France. In any case, if the analysis were to be conducted, from a conservative perspective, at the departmental level, the conclusions would remain unchanged. Indeed, the combined market share of the parties does not exceed 40%26 in each of the departments, except for the markets of FOD distribution in Seine et Marne ([50-60]%) and GNR in the departments of Seine-et-Marne ([50-60]%), Yvelines ([40-50]%), and Essonne ([40-50]%). The increment resulting from the operation is, however, very low and does not exceed [0-5] points in each of the departments considered and reaches at most [0-5] points in Seine-et-Marne in the FOD market. Furthermore, there are a sufficient number of credible competitors in these departments so that any competition issue at the departmental level can be excluded.</w:t>
      </w:r>
    </w:p>
    <w:p>
      <w:r>
        <w:t>77. Therefore, the operation is not likely to harm competition in the off-network market for petroleum products regardless of the segmentation retained.</w:t>
      </w:r>
    </w:p>
    <w:p>
      <w:r>
        <w:t>78. It follows from all of the above that the operation is not likely to harm competition through horizontal effects in the off-network markets, regardless of the geographical delineations retained.</w:t>
      </w:r>
    </w:p>
    <w:p>
      <w:r>
        <w:t>2. VERTICAL EFFECTS</w:t>
      </w:r>
    </w:p>
    <w:p>
      <w:r>
        <w:t>79. A vertical concentration can restrict competition by making access to the markets where the new entity will be active more difficult,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considers that a risk of vertical or conglomerate effect can be ruled out as long as the market share of the company resulting from the operation in the relevant markets does not exceed 30%.</w:t>
      </w:r>
    </w:p>
    <w:p>
      <w:r>
        <w:t>80. In this case, only TMF is significantly active in the upstream markets for petroleum product storage as well as in the off-network wholesale distribution market for petroleum products.</w:t>
      </w:r>
    </w:p>
    <w:p>
      <w:r>
        <w:t>81. Regarding the market for petroleum product storage, the parties emphasize that operators specialized in retail distribution generally do not lease storage capacity for their activities as they have their own network depot from which they can deliver to their customers. This last point has been confirmed by the responses from competitors obtained during the market test, who, with rare exceptions, all have one or more network depots dedicated exclusively to their activity and are therefore not active as suppliers or demanders in the petroleum product storage market. This observation cannot be challenged by the fact that the target takes in...</w:t>
      </w:r>
    </w:p>
    <w:p>
      <w:r>
        <w:rPr>
          <w:b/>
        </w:rPr>
        <w:t>[Pages 13–14]</w:t>
      </w:r>
    </w:p>
    <w:p>
      <w:r>
        <w:t>rental of storage capacities in the depots of Nortanking (Nord) and Roanne (Loire) insofar as the capacities concerned at the Roanne depot are negligible (approximately 100 m3), on the one hand, and the Nortanking depot is located in a geographical market (corresponding to the catchment area of the Nortanking depot) where TMF is not present as an offeror, on the other hand.</w:t>
      </w:r>
    </w:p>
    <w:p>
      <w:r>
        <w:t>82. In these circumstances, any vertical issue between the market for petroleum product storage and the distribution market can be ruled out.</w:t>
      </w:r>
    </w:p>
    <w:p>
      <w:r>
        <w:t>83. Regarding the market for off-network wholesale distribution of petroleum products in which TMF is present, as recalled in point 79, the Competition Authority considers it unlikely that a company with a market share of less than 30% in a given market could lock in a downstream or upstream market. In this case, TMF's market share is below 30% in the off-network wholesale distribution markets for petroleum products, in each of the geographical areas considered by the decision-making practice27. Furthermore, the new entity will face competition from numerous players in these markets such as Esso SAF, BP, Bolloré, Picoty, or Dyneff, so that any competition issue can be excluded.</w:t>
      </w:r>
    </w:p>
    <w:p>
      <w:r>
        <w:t>84. Therefore, it follows from the above that the operation is not likely to harm competition through vertical effects.</w:t>
      </w:r>
    </w:p>
    <w:p>
      <w:r>
        <w:t>27 Except for the off-network wholesale market for GNR in the Grand Ouest and Centre where TMF's market share is [30-40]%. In this market, however, the new entity will face competition from numerous players such as Esso SAF, BP, Bolloré, Picoty, or Dyneff, so that any competition issue can be excluded.</w:t>
      </w:r>
    </w:p>
    <w:p>
      <w:r>
        <w:t>DECIDES</w:t>
      </w:r>
    </w:p>
    <w:p>
      <w:r>
        <w:t>Sole Article: The operation notified under number 17-230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