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https://www.autoritedelaconcurrence.fr/fr/decision-de-controle-des-concentrations/relative-lacquisition-du-controle-exclusif-des-actifs-de</w:t>
      </w:r>
    </w:p>
    <w:p>
      <w:r>
        <w:t>Pages translated : 94</w:t>
      </w:r>
    </w:p>
    <w:p/>
    <w:p>
      <w:r>
        <w:rPr>
          <w:b/>
        </w:rPr>
        <w:t>[Pages 1–3]</w:t>
      </w:r>
    </w:p>
    <w:p>
      <w:r>
        <w:t xml:space="preserve">FRENCH REPUBLIC  </w:t>
        <w:br/>
        <w:t xml:space="preserve">Decision No. 22-DCC-78 of April 28, 2022  </w:t>
        <w:br/>
        <w:t>regarding the acquisition of exclusive control of the assets of Conforama France by the Mobilux group</w:t>
      </w:r>
    </w:p>
    <w:p>
      <w:r>
        <w:t xml:space="preserve">The Competition Authority,  </w:t>
        <w:br/>
        <w:t xml:space="preserve">Having regard to the request for referral from the company Mobilux addressed to the European Commission pursuant to Article 4, paragraph 4 of Council Regulation (EC) No. 139/2004 and the referral decision of the Commission of June 26, 2020;  </w:t>
        <w:br/>
        <w:t xml:space="preserve">Having regard to the notification file sent to the merger control service on July 17, 2020, declared complete on December 1, 2020, regarding the exclusive control of the assets of Conforama France by Mobilux, formalized by a transfer agreement dated July 7, 2020, and a conciliation protocol approved by the Commercial Court of Bobigny on September 21, 2020;  </w:t>
        <w:br/>
        <w:t xml:space="preserve">Having regard to Book IV of the Commercial Code relating to the freedom of prices and competition, and in particular Articles L. 430-1 to L. 430-7;  </w:t>
        <w:br/>
        <w:t xml:space="preserve">Having regard to Decision No. 21-DEX-01 of September 15, 2021, opening an in-depth investigation pursuant to the last paragraph of III of Article L. 430-5 of the Commercial Code;  </w:t>
        <w:br/>
        <w:t xml:space="preserve">Having regard to the observations presented by the representatives of the Mobilux group on March 18, 2022, in response to the report of the investigation services dated February 25, 2022;  </w:t>
        <w:br/>
        <w:t xml:space="preserve">Having regard to the other documents in the file;  </w:t>
        <w:br/>
        <w:t xml:space="preserve">The rapporteurs, the deputy general rapporteur, the Government Commissioner, and the representatives of the Mobilux group heard during the session of April 5, 2022;  </w:t>
        <w:br/>
        <w:t>Adopts the following decision:</w:t>
      </w:r>
    </w:p>
    <w:p>
      <w:r>
        <w:t xml:space="preserve">Summary1  </w:t>
        <w:br/>
        <w:t xml:space="preserve">By means of the decision below, the Authority examined the exclusive control of Conforama France (hereinafter, "Conforama") by the Mobilux group, the parent company of But (hereinafter, "But").  </w:t>
        <w:br/>
        <w:t xml:space="preserve">The parties to the operation are both active in the retail distribution of household equipment products, namely furniture, household appliances, and decoration and bazaar products. They both have, in France, a vast distribution network of over 300 stores for But and approximately 170 for Conforama.  </w:t>
        <w:br/>
        <w:t xml:space="preserve">The financial difficulties encountered by the Conforama group since 2017, exacerbated by the health crisis related to Covid-19, led the Commercial Court of Bobigny to open a conciliation procedure on May 19, 2020, under the aegis of the Interministerial Committee for Industrial Restructuring (hereinafter, "CIRI"), to allow it to obtain the necessary financing to continue its activity. This conciliation procedure allowed for the presentation of a buyout offer by Mobilux on June 9, 2020, aimed at addressing the main deadlines and working capital needs as well as financing the employment safeguard plan (PSE) voted with the employee representative bodies.  </w:t>
        <w:br/>
        <w:t xml:space="preserve">In this context, the Authority granted Mobilux on July 23, 2020, a derogation from the suspensive effect of merger control, allowing it to proceed with the effective realization of the acquisition, a prerequisite for the approval by the Commercial Court of Bobigny of the conciliation protocol concluded on July 7, 2020.  </w:t>
        <w:br/>
        <w:t xml:space="preserve">At the end of its analysis, the Authority considered that the operation would entail risks of harm to competition, primarily related to the creation or strengthening of a purchasing power placing suppliers of bedding products in a situation of economic dependence, secondly to the disappearance of a major franchisor group in the DROM, and thirdly to overlaps of activities in different downstream markets for the retail distribution of furniture products.  </w:t>
        <w:br/>
        <w:t xml:space="preserve">Regarding the first risk concerning bedding suppliers, the acquisition of But by Conforama leads to the merging of the two main distributors of bedding products in France. Indeed, following the operation, the new entity will represent nearly 50% of the market for the distribution of bedding products. Furthermore, more than half of the common bedding suppliers of the parties will generate a substantial portion of their turnover with the new entity. However, in a nationally sized market, alternatives to the new entity are very limited, with the main competitor of the parties, Ikea, having its own source of supply. Additionally, other buyers have very small volumes compared to those of the parties. The Authority thus considered that the operation risked creating or strengthening But's purchasing power in a way that would place bedding product suppliers in a state of economic dependence.  </w:t>
        <w:br/>
        <w:t xml:space="preserve">Regarding the second risk concerning the disappearance of a major franchisor group in the DROM, the brands But and Conforama are the two main groups offering franchises in the furniture products sector in the DROM. Consequently, the operation results in the disappearance of an alternative for franchisees who would be faced, following the operation, with a single active franchisor group in the furniture sector. There is therefore a risk of deterioration of the contractual conditions of franchisees, resulting, for example, in an increase in the royalty due under the franchise agreement.  </w:t>
        <w:br/>
        <w:t xml:space="preserve">Regarding the last risk related to overlaps of activities in the different downstream markets for the retail distribution of furniture products, the Authority significantly evolved its decision-making practice during this operation. The Authority thus considered that it was no longer relevant to retain a global furniture market but that it was appropriate to segment this market into six major product families (furniture, upholstered furniture, bedding, kitchens, bathroom furniture, and dressing). The Authority also considered that the distinction according to price range remained relevant. Finally, the Authority considered that sales in physical stores and online of furniture products belonged to the same market.  </w:t>
        <w:br/>
        <w:t xml:space="preserve">While the operation does not reveal any competition issues concerning kitchen furniture, the Authority concluded at the end of its analysis, taking into account both the strong market shares of the new entity in the various local areas, the significant competitive proximity existing between the parties, illustrated in particular by the existence of significant diversion ratios between the parties, the proximity of their commercial and geographical positioning, as well as the absence of a credible new entrant perspective in these markets, that the operation posed risks of harm to competition in 4 areas concerning upholstered furniture, 35 areas concerning furniture, and 40 areas concerning bedding furniture, thus removing duplicates, 56 areas.  </w:t>
        <w:br/>
        <w:t xml:space="preserve">The Authority also considered that the notifying party had not provided sufficient elements to support the alleged efficiency gains.  </w:t>
        <w:br/>
        <w:t xml:space="preserve">During the investigation, and citing the significant financial difficulties faced by Conforama, the notifying party invoked the failing firm defense, the application of which leads to authorizing a concentration operation unconditionally, even if it would harm competition.  </w:t>
        <w:br/>
        <w:t xml:space="preserve">Three cumulative criteria must be met in order to consider that the failing firm defense can apply:  </w:t>
        <w:br/>
        <w:t xml:space="preserve">- Criterion No. 1: the difficulties of the target company would lead to its rapid disappearance in the absence of a takeover;  </w:t>
        <w:br/>
        <w:t xml:space="preserve">- Criterion No. 2: there is no other less harmful takeover offer for competition than that of the notifying party, covering all or a substantial part of the company;  </w:t>
        <w:br/>
        <w:t xml:space="preserve">- Criterion No. 3: the disappearance of the distressed company would not be less harmful to consumers than the proposed takeover.  </w:t>
        <w:br/>
        <w:t xml:space="preserve">Given the significant financial difficulties faced by Conforama and the absence of an alternative offer to that of Mobilux that is less harmful, the Authority considered that the first two criteria were met.  </w:t>
        <w:br/>
        <w:t xml:space="preserve">To verify that the third criterion was met, the Authority first ensured that the assets of the target would inevitably disappear. To this end, it conducted a broad consultation with all market players. This consultation confirmed the absence of any expressions of interest from operators active in the markets identified as problematic (i.e., furniture, upholstered furniture, and bedding). The Authority also compared the effects of the disappearance of the target's assets with those of a takeover by Mobilux regarding each of the identified competitive risks.  </w:t>
        <w:br/>
        <w:t xml:space="preserve">1 This summary is strictly informative. Only the reasons for the decision numbered below are authoritative.  </w:t>
        <w:br/>
        <w:t>2</w:t>
      </w:r>
    </w:p>
    <w:p>
      <w:r>
        <w:rPr>
          <w:b/>
        </w:rPr>
        <w:t>[Pages 4–6]</w:t>
      </w:r>
    </w:p>
    <w:p>
      <w:r>
        <w:t>She concluded that the effects of this disappearance would not be less harmful than the takeover by But. Consequently, in terms of its analysis, the Authority, noting that the criteria for the failing firm defense are met, authorizes the operation without conditions.</w:t>
      </w:r>
    </w:p>
    <w:p>
      <w:r>
        <w:t xml:space="preserve">I. THE COMPANIES INVOLVED AND THE OPERATION ................................................11  </w:t>
        <w:br/>
        <w:t xml:space="preserve">A. The companies involved ........................................................................... 11  </w:t>
        <w:br/>
        <w:t xml:space="preserve">B. The operation ............................................................................................. 11  </w:t>
        <w:br/>
        <w:t xml:space="preserve">II. DELIMITATION OF THE RELEVANT MARKETS ....................................................12  </w:t>
        <w:br/>
        <w:t xml:space="preserve">A. Markets for products and services ............................................................ 12  </w:t>
        <w:br/>
        <w:t xml:space="preserve">1. Upstream markets for the supply of furniture, bazaar, and decoration products and household appliances ..........................................................13  </w:t>
        <w:br/>
        <w:t xml:space="preserve">a) Upstream markets for the supply of furniture products ..................... 13  </w:t>
        <w:br/>
        <w:t xml:space="preserve">b) Upstream market for the supply of bazaar and decoration products 14  </w:t>
        <w:br/>
        <w:t xml:space="preserve">c) Upstream markets for the supply of household appliances ...............14  </w:t>
        <w:br/>
        <w:t xml:space="preserve">2. Downstream markets for the distribution of furniture, bazaar, and decoration products and household appliances ...........................................15  </w:t>
        <w:br/>
        <w:t xml:space="preserve">a) Downstream markets for the retail distribution of furniture products .... 15  </w:t>
        <w:br/>
        <w:t xml:space="preserve">Large-scale retailers in home equipment and large-scale retailers in furniture products .................................................................................... 15  </w:t>
        <w:br/>
        <w:t xml:space="preserve">Generalist furniture brands ....................................................................... 16  </w:t>
        <w:br/>
        <w:t xml:space="preserve">Specialized furniture stores ...................................................................... 16  </w:t>
        <w:br/>
        <w:t xml:space="preserve">DIY superstores (GSB) ............................................................................. 16  </w:t>
        <w:br/>
        <w:t xml:space="preserve">Current decision-making practice ................................................................ 16  </w:t>
        <w:br/>
        <w:t xml:space="preserve">Position of the parties on the functioning of the market .......................... 17  </w:t>
        <w:br/>
        <w:t xml:space="preserve">Competitive pressure exerted by large-scale retailers (GSA) .................. 17  </w:t>
        <w:br/>
        <w:t xml:space="preserve">Market segmentation between physical store sales and online sales ....... 18  </w:t>
        <w:br/>
        <w:t xml:space="preserve">Taking into account all brands offering furniture products ...................... 18  </w:t>
        <w:br/>
        <w:t xml:space="preserve">Market segmentation by product range .................................................... 19  </w:t>
        <w:br/>
        <w:t xml:space="preserve">Assessment in the specific case ................................................................ 19  </w:t>
        <w:br/>
        <w:t xml:space="preserve">On the consideration of large-scale retailers (GSA) ............................... 19  </w:t>
        <w:br/>
        <w:t xml:space="preserve">On the consideration of online sales ......................................................... 19  </w:t>
        <w:br/>
        <w:t xml:space="preserve">On the consideration of a single market for the distribution of furniture products .......................................................................................... 19  </w:t>
        <w:br/>
        <w:t xml:space="preserve">On segmentation based on price ranges .................................................. 21  </w:t>
        <w:br/>
        <w:t xml:space="preserve">Conclusions on the delimitation of the product market .......................... 21  </w:t>
        <w:br/>
        <w:t xml:space="preserve">b) Downstream market for the retail distribution of bazaar and decoration products .......................................................................................... 23  </w:t>
        <w:br/>
        <w:t>c) Downstream markets for the retail distribution of household appliances 23</w:t>
      </w:r>
    </w:p>
    <w:p>
      <w:r>
        <w:t xml:space="preserve">The distinction by product family ................................................................. 23  </w:t>
        <w:br/>
        <w:t xml:space="preserve">The distinction by sales channel ................................................................. 24  </w:t>
        <w:br/>
        <w:t xml:space="preserve">Distance sales ............................................................................................ 24  </w:t>
        <w:br/>
        <w:t xml:space="preserve">Brown and grey products .......................................................................... 25  </w:t>
        <w:br/>
        <w:t xml:space="preserve">White products .......................................................................................... 25  </w:t>
        <w:br/>
        <w:t xml:space="preserve">Physical points of sale ............................................................................... 25  </w:t>
        <w:br/>
        <w:t xml:space="preserve">B. Geographical markets ............................................................................. 25  </w:t>
        <w:br/>
        <w:t xml:space="preserve">1. Upstream markets for the supply of furniture, bazaar, and decoration products and household appliances ......................................................26  </w:t>
        <w:br/>
        <w:t xml:space="preserve">a) Upstream markets for the supply of furniture products ..................... 26  </w:t>
        <w:br/>
        <w:t xml:space="preserve">Current decision-making practice ................................................................ 26  </w:t>
        <w:br/>
        <w:t xml:space="preserve">Position of the notifying party .................................................................... 26  </w:t>
        <w:br/>
        <w:t xml:space="preserve">Application to the specific case ................................................................. 26  </w:t>
        <w:br/>
        <w:t xml:space="preserve">b) Upstream markets for the supply of bazaar and decoration products 28  </w:t>
        <w:br/>
        <w:t xml:space="preserve">c) Upstream markets for the supply of household appliances .................28  </w:t>
        <w:br/>
        <w:t xml:space="preserve">2. Downstream markets for the distribution of furniture products, bazaar and decoration products, and household appliances ..........................28  </w:t>
        <w:br/>
        <w:t xml:space="preserve">a) National and local market analysis for distribution ............................ 29  </w:t>
        <w:br/>
        <w:t xml:space="preserve">Current decision-making practice ................................................................ 29  </w:t>
        <w:br/>
        <w:t xml:space="preserve">Position of the parties .................................................................................. 29  </w:t>
        <w:br/>
        <w:t xml:space="preserve">Assessment in the specific case ................................................................ 29  </w:t>
        <w:br/>
        <w:t xml:space="preserve">b) Determination of the size of local distribution markets ...................... 30  </w:t>
        <w:br/>
        <w:t xml:space="preserve">Local markets for the retail distribution of furniture products ............... 30  </w:t>
        <w:br/>
        <w:t xml:space="preserve">Local markets for the retail distribution of bazaar and decoration products .................................................................................................... 31  </w:t>
        <w:br/>
        <w:t xml:space="preserve">Local markets for the retail distribution of household appliances ........... 31  </w:t>
        <w:br/>
        <w:t xml:space="preserve">III. COMPETITIVE ANALYSIS ................................................................................32  </w:t>
        <w:br/>
        <w:t xml:space="preserve">A. Analysis of the commercial autonomy of franchisees .......................... 32  </w:t>
        <w:br/>
        <w:t xml:space="preserve">1. Reminder of the principles ........................................................................32  </w:t>
        <w:br/>
        <w:t xml:space="preserve">2. Position of the notifying party ..................................................................33  </w:t>
        <w:br/>
        <w:t xml:space="preserve">3. Assessment in the specific case ...............................................................33  </w:t>
        <w:br/>
        <w:t xml:space="preserve">a) But contracts .......................................................................................... 33  </w:t>
        <w:br/>
        <w:t xml:space="preserve">Metropolitan franchisees .......................................................................... 33  </w:t>
        <w:br/>
        <w:t xml:space="preserve">Franchisees in the DROM ......................................................................... 34  </w:t>
        <w:br/>
        <w:t>b) Conforama contracts ............................................................................. 35</w:t>
      </w:r>
    </w:p>
    <w:p>
      <w:r>
        <w:rPr>
          <w:b/>
        </w:rPr>
        <w:t>[Pages 7–9]</w:t>
      </w:r>
    </w:p>
    <w:p>
      <w:r>
        <w:t xml:space="preserve">Les franchisés métropolitains ...................................................................... 35  </w:t>
        <w:br/>
        <w:t xml:space="preserve">Franchisees in the metropolitan area ............................................................ 35  </w:t>
        <w:br/>
        <w:t xml:space="preserve">Les franchisés dans les DROM ................................................................... 35  </w:t>
        <w:br/>
        <w:t xml:space="preserve">Franchisees in the DROM .......................................................................... 35  </w:t>
        <w:br/>
        <w:t xml:space="preserve">c) Conclusion sur l’autonomie commerciale des franchisés........................ 35  </w:t>
        <w:br/>
        <w:t xml:space="preserve">c) Conclusion on the commercial autonomy of franchisees ......................... 35  </w:t>
        <w:br/>
        <w:t xml:space="preserve">B. Analyse du risque lié à la disparition d’un groupe franchiseur ......... 36  </w:t>
        <w:br/>
        <w:t xml:space="preserve">B. Analysis of the risk related to the disappearance of a franchisor group .... 36  </w:t>
        <w:br/>
        <w:t xml:space="preserve">1. Présentation du risque ..................................................................................36  </w:t>
        <w:br/>
        <w:t xml:space="preserve">1. Presentation of the risk ................................................................................ 36  </w:t>
        <w:br/>
        <w:t xml:space="preserve">2. Position de la partie notifiante ......................................................................36  </w:t>
        <w:br/>
        <w:t xml:space="preserve">2. Position of the notifying party ..................................................................... 36  </w:t>
        <w:br/>
        <w:t xml:space="preserve">3. Appréciation au cas d’espèce ........................................................................37  </w:t>
        <w:br/>
        <w:t xml:space="preserve">3. Assessment in the specific case ................................................................... 37  </w:t>
        <w:br/>
        <w:t xml:space="preserve">C. Marchés des produits d’ameublement .................................................. 37  </w:t>
        <w:br/>
        <w:t xml:space="preserve">C. Markets for furniture products ................................................................. 37  </w:t>
        <w:br/>
        <w:t xml:space="preserve">1. Marchés amont ..............................................................................................37  </w:t>
        <w:br/>
        <w:t xml:space="preserve">1. Upstream markets ....................................................................................... 37  </w:t>
        <w:br/>
        <w:t xml:space="preserve">a) Présentation des parts de marché ............................................................. 37  </w:t>
        <w:br/>
        <w:t xml:space="preserve">a) Presentation of market shares ................................................................... 37  </w:t>
        <w:br/>
        <w:t xml:space="preserve">b) Présentation du risque de dépendance économique des fournisseurs...... 38  </w:t>
        <w:br/>
        <w:t xml:space="preserve">b) Presentation of the risk of economic dependence of suppliers ............... 38  </w:t>
        <w:br/>
        <w:t xml:space="preserve">Rappel de la pratique décisionnelle relative à la dépendance économique . 38  </w:t>
        <w:br/>
        <w:t xml:space="preserve">Reminder of the decision-making practice regarding economic dependence . 38  </w:t>
        <w:br/>
        <w:t xml:space="preserve">Analyse du risque de dépendance économique ........................................... 39  </w:t>
        <w:br/>
        <w:t xml:space="preserve">Analysis of the risk of economic dependence .............................................. 39  </w:t>
        <w:br/>
        <w:t xml:space="preserve">Remarques préliminaires sur le seuil de dépendance économique retenu ................................................................................................................. 40  </w:t>
        <w:br/>
        <w:t xml:space="preserve">Preliminary remarks on the threshold of economic dependence retained .... 40  </w:t>
        <w:br/>
        <w:t xml:space="preserve">Les fournisseurs en produits d’ameublement (hors literie) ..................... 40  </w:t>
        <w:br/>
        <w:t xml:space="preserve">Suppliers of furniture products (excluding bedding) ................................. 40  </w:t>
        <w:br/>
        <w:t xml:space="preserve">Sur le nombre de fournisseurs en dépendance économique ............................. 40  </w:t>
        <w:br/>
        <w:t xml:space="preserve">On the number of suppliers in economic dependence .................................... 40  </w:t>
        <w:br/>
        <w:t xml:space="preserve">Sur la structure ou le fonctionnement de la concurrence sur le marché amont des produits d’ameublement ............................................................................. 40  </w:t>
        <w:br/>
        <w:t xml:space="preserve">On the structure or functioning of competition in the upstream market for furniture products .......................................................................................... 40  </w:t>
        <w:br/>
        <w:t xml:space="preserve">Les fournisseurs de produits de literie ..................................................... 41  </w:t>
        <w:br/>
        <w:t xml:space="preserve">Suppliers of bedding products ...................................................................... 41  </w:t>
        <w:br/>
        <w:t xml:space="preserve">Sur le nombre de fournisseurs en dépendance économique ............................. 41  </w:t>
        <w:br/>
        <w:t xml:space="preserve">On the number of suppliers in economic dependence .................................... 41  </w:t>
        <w:br/>
        <w:t xml:space="preserve">Sur la structure ou le fonctionnement de la concurrence sur le marché amont des produits de literie .................................................................................. 42  </w:t>
        <w:br/>
        <w:t xml:space="preserve">On the structure or functioning of competition in the upstream market for bedding products .......................................................................................... 42  </w:t>
        <w:br/>
        <w:t xml:space="preserve">2. Marchés aval .................................................................................................43  </w:t>
        <w:br/>
        <w:t xml:space="preserve">2. Downstream markets .................................................................................. 43  </w:t>
        <w:br/>
        <w:t xml:space="preserve">a) Parts de marché ........................................................................................ 43  </w:t>
        <w:br/>
        <w:t xml:space="preserve">a) Market shares ............................................................................................ 43  </w:t>
        <w:br/>
        <w:t xml:space="preserve">Méthodologie de calcul des parts de marché ............................................... 43  </w:t>
        <w:br/>
        <w:t xml:space="preserve">Methodology for calculating market shares .................................................. 43  </w:t>
        <w:br/>
        <w:t xml:space="preserve">Ouverture de nouveaux magasins ............................................................ 43  </w:t>
        <w:br/>
        <w:t xml:space="preserve">Opening of new stores .................................................................................. 43  </w:t>
        <w:br/>
        <w:t xml:space="preserve">Inclusion des ventes en ligne ................................................................... 43  </w:t>
        <w:br/>
        <w:t xml:space="preserve">Inclusion of online sales ............................................................................... 43  </w:t>
        <w:br/>
        <w:t xml:space="preserve">Rappel de la pratique décisionnelle ................................................................. 43  </w:t>
        <w:br/>
        <w:t xml:space="preserve">Reminder of the decision-making practice .................................................... 43  </w:t>
        <w:br/>
        <w:t xml:space="preserve">Position de la partie notifiante .......................................................................... 44  </w:t>
        <w:br/>
        <w:t xml:space="preserve">Position of the notifying party ....................................................................... 44  </w:t>
        <w:br/>
        <w:t xml:space="preserve">Appréciation au cas d’espèce ........................................................................... 46  </w:t>
        <w:br/>
        <w:t xml:space="preserve">Assessment in the specific case ..................................................................... 46  </w:t>
        <w:br/>
        <w:t xml:space="preserve">Conclusion sur les ventes en ligne ................................................................... 48  </w:t>
        <w:br/>
        <w:t xml:space="preserve">Conclusion on online sales .............................................................................. 48  </w:t>
        <w:br/>
        <w:t xml:space="preserve">Prise en compte des enseignes généralistes, des enseignes spécialistes et des GSB ................................................................................................... 48  </w:t>
        <w:br/>
        <w:t xml:space="preserve">Taking into account generalist brands, specialist brands, and DIY stores ................................................................................................................. 48  </w:t>
        <w:br/>
        <w:t xml:space="preserve">Présentation des parts de marché ................................................................. 50  </w:t>
        <w:br/>
        <w:t xml:space="preserve">Presentation of market shares ....................................................................... 50  </w:t>
        <w:br/>
        <w:t xml:space="preserve">Au niveau national ................................................................................... 50  </w:t>
        <w:br/>
        <w:t xml:space="preserve">At the national level ....................................................................................... 50  </w:t>
        <w:br/>
        <w:t xml:space="preserve">Au niveau local ........................................................................................ 51  </w:t>
        <w:br/>
        <w:t xml:space="preserve">At the local level ............................................................................................ 51  </w:t>
        <w:br/>
        <w:t xml:space="preserve">Méthode d’analyse des zones de chalandise .................................................... 51  </w:t>
        <w:br/>
        <w:t xml:space="preserve">Method of analyzing catchment areas ............................................................ 51  </w:t>
        <w:br/>
        <w:t xml:space="preserve">Position de la partie notifiante .......................................................................... 51  </w:t>
        <w:br/>
        <w:t xml:space="preserve">Position of the notifying party ....................................................................... 51  </w:t>
        <w:br/>
        <w:t xml:space="preserve">Application au cas d’espèce ............................................................................. 52  </w:t>
        <w:br/>
        <w:t xml:space="preserve">Application in the specific case ...................................................................... 52  </w:t>
        <w:br/>
        <w:t xml:space="preserve">Présentation des zones locales .......................................................................... 53  </w:t>
        <w:br/>
        <w:t xml:space="preserve">Presentation of local areas .............................................................................. 53  </w:t>
        <w:br/>
        <w:t xml:space="preserve">Nombre total de zones dans lesquelles les parts de marché de la nouvelle entité seront supérieures à 50 % ................................................................. 54  </w:t>
        <w:br/>
        <w:t xml:space="preserve">Total number of areas where the market shares of the new entity will exceed 50% ........................................................................................................ 54  </w:t>
        <w:br/>
        <w:t xml:space="preserve">Zones dans lesquelles un point de vente Ikea est situé à moins d’une heure du point de vente cible................................................................................... 55  </w:t>
        <w:br/>
        <w:t xml:space="preserve">Areas where an Ikea store is located less than an hour from the target store ................................................................................................................. 55  </w:t>
        <w:br/>
        <w:t xml:space="preserve">Autres zones ..................................................................................................... 55  </w:t>
        <w:br/>
        <w:t xml:space="preserve">Other areas ....................................................................................................... 55  </w:t>
        <w:br/>
        <w:t xml:space="preserve">Conclusion sur les parts de marché au niveau local ......................................... 58  </w:t>
        <w:br/>
        <w:t xml:space="preserve">Conclusion on market shares at the local level ............................................... 58  </w:t>
        <w:br/>
        <w:t xml:space="preserve">b) Proximité concurrentielle ........................................................................ 59  </w:t>
        <w:br/>
        <w:t xml:space="preserve">b) Competitive proximity ............................................................................... 59  </w:t>
        <w:br/>
        <w:t xml:space="preserve">Ratios de diversion ...................................................................................... 59  </w:t>
        <w:br/>
        <w:t xml:space="preserve">Diversion ratios .............................................................................................. 59  </w:t>
        <w:br/>
        <w:t xml:space="preserve">Positionnement commercial des parties ...................................................... 61  </w:t>
        <w:br/>
        <w:t xml:space="preserve">Commercial positioning of the parties ........................................................... 61  </w:t>
        <w:br/>
        <w:t xml:space="preserve">Proximité géographique ............................................................................... 62  </w:t>
        <w:br/>
        <w:t xml:space="preserve">Geographical proximity .................................................................................. 62  </w:t>
        <w:br/>
        <w:t xml:space="preserve">c) Barrières à l’entrée................................................................................... 63  </w:t>
        <w:br/>
        <w:t xml:space="preserve">c) Barriers to entry .......................................................................................... 63  </w:t>
        <w:br/>
        <w:t xml:space="preserve">d) Effets ........................................................................................................ 64  </w:t>
        <w:br/>
        <w:t xml:space="preserve">d) Effects ......................................................................................................... 64  </w:t>
        <w:br/>
        <w:t xml:space="preserve">D. Marché des produits de décoration bazar ............................................ 65  </w:t>
        <w:br/>
        <w:t xml:space="preserve">D. Market for bazaar decoration products .................................................... 65  </w:t>
        <w:br/>
        <w:t xml:space="preserve">1. Marché amont ...............................................................................................65  </w:t>
        <w:br/>
        <w:t xml:space="preserve">1. Upstream market ......................................................................................... 65  </w:t>
        <w:br/>
        <w:t xml:space="preserve">a) Présentation des parts de marché ............................................................. 65  </w:t>
        <w:br/>
        <w:t xml:space="preserve">a) Presentation of market shares ................................................................... 65  </w:t>
        <w:br/>
        <w:t xml:space="preserve">b) Analyse du risque de dépendance économique des fournisseurs ............ 65  </w:t>
        <w:br/>
        <w:t xml:space="preserve">b) Analysis of the risk of economic dependence of suppliers ....................... 65  </w:t>
        <w:br/>
        <w:t xml:space="preserve">2. Marchés aval .................................................................................................65  </w:t>
        <w:br/>
        <w:t xml:space="preserve">2. Downstream markets .................................................................................. 65  </w:t>
        <w:br/>
        <w:t xml:space="preserve">a) Analyse des effets horizontaux au niveau national ................................. 65  </w:t>
        <w:br/>
        <w:t xml:space="preserve">a) Analysis of horizontal effects at the national level .................................... 65  </w:t>
        <w:br/>
        <w:t xml:space="preserve">b) Analyse des effets horizontaux au niveau local ...................................... 66  </w:t>
        <w:br/>
        <w:t xml:space="preserve">b) Analysis of horizontal effects at the local level ......................................... 66  </w:t>
        <w:br/>
        <w:t xml:space="preserve">E. Marché des produits électrodomestiques .............................................. 66  </w:t>
        <w:br/>
        <w:t xml:space="preserve">E. Market for household appliances ............................................................... 66  </w:t>
        <w:br/>
        <w:t xml:space="preserve">1. Marchés amont ..............................................................................................66  </w:t>
        <w:br/>
        <w:t xml:space="preserve">1. Upstream markets ....................................................................................... 66  </w:t>
        <w:br/>
        <w:t xml:space="preserve">a) Présentation des parts de marché ............................................................. 66  </w:t>
        <w:br/>
        <w:t xml:space="preserve">a) Presentation of market shares ................................................................... 66  </w:t>
        <w:br/>
        <w:t xml:space="preserve">b) Analyse du risque de dépendance économique des fournisseurs ............ 66  </w:t>
        <w:br/>
        <w:t xml:space="preserve">b) Analysis of the risk of economic dependence of suppliers ....................... 66  </w:t>
        <w:br/>
        <w:t xml:space="preserve">2. Marchés aval .................................................................................................67  </w:t>
        <w:br/>
        <w:t xml:space="preserve">2. Downstream markets .................................................................................. 67  </w:t>
        <w:br/>
        <w:t xml:space="preserve">a) Analyse des effets horizontaux au niveau national ................................. 67  </w:t>
        <w:br/>
        <w:t xml:space="preserve">a) Analysis of horizontal effects at the national level .................................... 67  </w:t>
        <w:br/>
        <w:t xml:space="preserve">Produits bruns .............................................................................................. 67  </w:t>
        <w:br/>
        <w:t xml:space="preserve">Brown goods ................................................................................................... 67  </w:t>
        <w:br/>
        <w:t xml:space="preserve">Produits blancs ............................................................................................. 67  </w:t>
        <w:br/>
        <w:t xml:space="preserve">White goods .................................................................................................... 67  </w:t>
        <w:br/>
        <w:t xml:space="preserve">b) Analyse des effets horizontaux au niveau local ...................................... 68  </w:t>
        <w:br/>
        <w:t xml:space="preserve">b) Analysis of horizontal effects at the local level ......................................... 68  </w:t>
        <w:br/>
        <w:t xml:space="preserve">Marchés locaux de la distribution au détail de produits bruns .................... 68  </w:t>
        <w:br/>
        <w:t xml:space="preserve">Local markets for the retail distribution of brown goods .............................. 68  </w:t>
        <w:br/>
        <w:t xml:space="preserve">Marchés locaux de la distribution au détail de produits blancs ................... 68  </w:t>
        <w:br/>
        <w:t xml:space="preserve">Local markets for the retail distribution of white goods ............................... 68  </w:t>
        <w:br/>
        <w:t xml:space="preserve">IV. LES GAINS D’EFFICIENCE ........................................................................................69  </w:t>
        <w:br/>
        <w:t xml:space="preserve">IV. EFFICIENCY GAINS .......................................................................................... 69  </w:t>
        <w:br/>
        <w:t xml:space="preserve">A. Rappel de la pratique décisionnelle ....................................................... 69  </w:t>
        <w:br/>
        <w:t xml:space="preserve">A. Reminder of the decision-making practice .................................................. 69  </w:t>
        <w:br/>
        <w:t xml:space="preserve">B. Position de la partie notifiante ............................................................... 70  </w:t>
        <w:br/>
        <w:t xml:space="preserve">B. Position of the notifying party ................................................................... 70  </w:t>
        <w:br/>
        <w:t xml:space="preserve">C. Application au cas d’espèce .................................................................... 70  </w:t>
        <w:br/>
        <w:t xml:space="preserve">C. Application in the specific case .................................................................. 70  </w:t>
        <w:br/>
        <w:t xml:space="preserve">V. L’EXCEPTION DE L’ENTREPRISE DÉFAILLANTE ....................................................71  </w:t>
        <w:br/>
        <w:t xml:space="preserve">V. THE EXCEPTION OF THE FAILING COMPANY .................................................. 71  </w:t>
        <w:br/>
        <w:t xml:space="preserve">A. Rappel des critères d’applicabilité de l’entreprise défaillante ............ 72  </w:t>
        <w:br/>
        <w:t xml:space="preserve">A. Reminder of the applicability criteria for the failing company ................. 72  </w:t>
        <w:br/>
        <w:t xml:space="preserve">1. La disparition rapide de la société cible en l’absence de l’opération (critère n° 1) ......................................................................................................................73  </w:t>
        <w:br/>
        <w:t xml:space="preserve">1. The rapid disappearance of the target company in the absence of the operation (criterion no. 1) .................................................................................. 73  </w:t>
        <w:br/>
        <w:t xml:space="preserve">2. L’absence d’offre alternative moins dommageable (critère n° 2) ...............74  </w:t>
        <w:br/>
        <w:t xml:space="preserve">2. The absence of a less harmful alternative offer (criterion no. 2) ................. 74  </w:t>
        <w:br/>
        <w:t xml:space="preserve">a) L’identification des offres alternatives .................................................... 74  </w:t>
        <w:br/>
        <w:t xml:space="preserve">a) The identification of alternative offers ....................................................... 74  </w:t>
        <w:br/>
        <w:t xml:space="preserve">b) L’appréciation des offres alternatives...................................................... 75  </w:t>
        <w:br/>
        <w:t xml:space="preserve">b) The assessment of alternative offers ......................................................... 75  </w:t>
        <w:br/>
        <w:t xml:space="preserve">3. Le caractère moins dommageable de l’opération par rapport à un scénario de disparition de l’activité cible (critère n° 3) .....................................................75  </w:t>
        <w:br/>
        <w:t xml:space="preserve">3. The less harmful nature of the operation compared to a scenario of disappearance of the target activity (criterion no. 3) ........................................... 75  </w:t>
        <w:br/>
        <w:t xml:space="preserve">B. Position de la partie notifiante ............................................................... 77  </w:t>
        <w:br/>
        <w:t xml:space="preserve">B. Position of the notifying party ................................................................... 77  </w:t>
        <w:br/>
        <w:t xml:space="preserve">1. Sur le risque de disparition rapide de la société cible en l’absence de l’opération ............................................................................................................77  </w:t>
        <w:br/>
        <w:t xml:space="preserve">1. On the risk of rapid disappearance of the target company in the absence of the operation .......................................................................................... 77  </w:t>
        <w:br/>
        <w:t xml:space="preserve">2. Sur l’absence d’offre alternative moins dommageable pour la concurrence, portant sur la totalité ou une partie substantielle de l’entreprise .......................78  </w:t>
        <w:br/>
        <w:t xml:space="preserve">2. On the absence of a less harmful alternative offer for competition, concerning the entirety or a substantial part of the company ................................. 78  </w:t>
        <w:br/>
        <w:t xml:space="preserve">3. Sur le caractère moins dommageable de l’opération par rapport à un scénario de disparition de l’activité cible ............................................................79  </w:t>
        <w:br/>
        <w:t xml:space="preserve">3. On the less harmful nature of the operation compared to a scenario of disappearance of the target activity ................................................................. 79  </w:t>
        <w:br/>
        <w:t xml:space="preserve">a) Remarques préliminaires ......................................................................... 79  </w:t>
        <w:br/>
        <w:t xml:space="preserve">a) Preliminary remarks .................................................................................. 79  </w:t>
        <w:br/>
        <w:t xml:space="preserve">Sur l’appréciation du critère n° 3 au regard du périmètre de la société Conforama France ....................................................................................... 79  </w:t>
        <w:br/>
        <w:t xml:space="preserve">On the assessment of criterion no. 3 in relation to the scope of Conforama France ........................................................................................................ 79  </w:t>
        <w:br/>
        <w:t xml:space="preserve">Sur la disparition inévitable des actifs du marché comme scénario contrefactuel unique, en l’absence de reprise .............................................. 80  </w:t>
        <w:br/>
        <w:t xml:space="preserve">On the inevitable disappearance of market assets as the unique counterfactual scenario, in the absence of a takeover .................................................. 80  </w:t>
        <w:br/>
        <w:t xml:space="preserve">Sur la date à laquelle l’Autorité devrait se placer pour l’analyse du critère n° 3 .................................................................................................................. 80  </w:t>
        <w:br/>
        <w:t xml:space="preserve">On the date on which the Authority should position itself for the analysis of criterion no. 3 .......................................................................................... 80  </w:t>
        <w:br/>
        <w:t xml:space="preserve">Sur l’analyse du critère n° 3 sur les marchés où l’opération ne soulève pas de problème de concurrence ............................................................................. 81  </w:t>
        <w:br/>
        <w:t xml:space="preserve">On the analysis of criterion no. 3 in markets where the operation does not raise competition issues ............................................................................... 81  </w:t>
        <w:br/>
        <w:t xml:space="preserve">b) Analyse des différents scénarios ............................................................. 81  </w:t>
        <w:br/>
        <w:t xml:space="preserve">b) Analysis of different scenarios .................................................................. 81  </w:t>
        <w:br/>
        <w:t xml:space="preserve">Sur les marchés amont ................................................................................. 81  </w:t>
        <w:br/>
        <w:t xml:space="preserve">On the upstream markets .............................................................................. 81  </w:t>
        <w:br/>
        <w:t xml:space="preserve">Sur les marchés aval .................................................................................... 82  </w:t>
        <w:br/>
        <w:t xml:space="preserve">On the downstream markets ......................................................................... 82  </w:t>
        <w:br/>
        <w:t xml:space="preserve">Sur les franchisés dans les DROM .............................................................. 83  </w:t>
        <w:br/>
        <w:t xml:space="preserve">On the franchisees in the DROM ................................................................... 83  </w:t>
        <w:br/>
        <w:t xml:space="preserve">C. Application au cas d’espèce .................................................................... 83  </w:t>
        <w:br/>
        <w:t xml:space="preserve">C. Application in the specific case .................................................................. 83  </w:t>
        <w:br/>
        <w:t xml:space="preserve">1. Sur le risque de disparition rapide de la société cible en l’absence de l’opération ............................................................................................................84  </w:t>
        <w:br/>
        <w:t xml:space="preserve">1. On the risk of rapid disappearance of the target company in the absence of the operation .......................................................................................... 84  </w:t>
        <w:br/>
        <w:t xml:space="preserve">2. Sur l’absence d’offre alternative moins dommageable pour la concurrence, portant sur la totalité ou une partie substantielle de l’entreprise .......................84  </w:t>
        <w:br/>
        <w:t xml:space="preserve">2. On the absence of a less harmful alternative offer for competition, concerning the entirety or a substantial part of the company ................................. 84  </w:t>
        <w:br/>
        <w:t xml:space="preserve">a) Sur la publicité de la procédure de recherche des candidats ................... 84  </w:t>
        <w:br/>
        <w:t xml:space="preserve">a) On the publicity of the candidate search procedure ................................... 84  </w:t>
        <w:br/>
        <w:t xml:space="preserve">b) Sur l’absence d’offre alternative.............................................................. 86  </w:t>
        <w:br/>
        <w:t xml:space="preserve">b) On the absence of an alternative offer ....................................................... 86  </w:t>
        <w:br/>
        <w:t xml:space="preserve">3. Sur le caractère moins dommageable de l’opération par rapport à un scénario de disparition de l’activité cible ............................................................87  </w:t>
        <w:br/>
        <w:t>3. On the less harmful nature of the operation compared to a scenario of disappearance of the target activity ................................................................. 87</w:t>
      </w:r>
    </w:p>
    <w:p>
      <w:r>
        <w:rPr>
          <w:b/>
        </w:rPr>
        <w:t>[Pages 10–12]</w:t>
      </w:r>
    </w:p>
    <w:p>
      <w:r>
        <w:t xml:space="preserve">a) Clarifications from the Authority on the remarks of the notifying party ........... 87  </w:t>
        <w:br/>
        <w:t xml:space="preserve">On the assessment of criterion No. 3 in relation to the scope of the company Conforama France ....................................................................................... 87  </w:t>
        <w:br/>
        <w:t xml:space="preserve">On the assessment of criterion No. 3 based solely on the inevitable disappearance of market assets .................................................................................... 88  </w:t>
        <w:br/>
        <w:t xml:space="preserve">Regarding the date for assessing criterion No. 3 ............................................ 89  </w:t>
        <w:br/>
        <w:t xml:space="preserve">On the relevant markets where there are competition issues .......................... 90  </w:t>
        <w:br/>
        <w:t xml:space="preserve">b) Assessment of the criterion for each of the markets where the operation is likely to harm competition ................................................................. 90  </w:t>
        <w:br/>
        <w:t xml:space="preserve">On the downstream markets for the distribution of bedding products, furniture, and upholstered furniture ............................................................... 90  </w:t>
        <w:br/>
        <w:t xml:space="preserve">On the upstream market for the supply of bedding products ......................... 91  </w:t>
        <w:br/>
        <w:t xml:space="preserve">On the risk of the disappearance of an alternative for franchisees located in the DROM ......................................................................................................... 92  </w:t>
        <w:br/>
        <w:t xml:space="preserve">c) Conclusion on criterion No. 3 .................................................................. 92  </w:t>
        <w:br/>
        <w:t>D. General conclusion regarding the argument based on the failing firm defense ........................................................................................................... 93</w:t>
      </w:r>
    </w:p>
    <w:p>
      <w:r>
        <w:t xml:space="preserve">I. The companies involved and the operation  </w:t>
        <w:br/>
        <w:t xml:space="preserve">A. THE COMPANIES INVOLVED  </w:t>
        <w:br/>
        <w:t xml:space="preserve">1. Mobilux is the parent company of But International2, which itself holds the company But. Mobilux is equally controlled by Clayton, Dubilier &amp; Rice LLC, a subsidiary of the American investment fund Clayton, Dubilier &amp; Rice (hereinafter, "CD&amp;R"), and by WM Holding GmbH (hereinafter, "WM") ultimately controlled by Mr. Andreas Seifert. The latter also holds stakes in the Poco group of companies and in the XXXLutz group, both of which are active in the retail distribution of furniture and decoration products through points of sale located in Germany, Austria, Bulgaria, Croatia, Hungary, the Czech Republic, Romania, Serbia, Slovakia, Slovenia, Sweden, and Switzerland. Neither Poco nor XXXLutz operates retail stores in France. The company But is active in the retail distribution of furniture products, household appliances, and decoration and bazaar products, in metropolitan France and in the overseas departments and regions (hereinafter "DROM"), in the form of a network of 322 stores under the "But" brand, either owned or franchised, as well as a website: www.but.fr.  </w:t>
        <w:br/>
        <w:t xml:space="preserve">2. The target assets consist notably of the companies Conforama France SA, Confo !, and Conforama Developpement 7, certain real estate assets, the brands "Conforama" and "Confo !", as well as the website www.conforama.fr (hereinafter collectively referred to as "Conforama France assets"). These assets are held by Conforama Holding SA, which is ultimately owned by the South African group Steinhoff International Holding N.V. The Conforama group is active in the retail distribution of furniture, decoration, and household appliance products with 170 points of sale, including three franchised stores in metropolitan France and five in the DROM, as well as a website: www.conforama.fr.  </w:t>
        <w:br/>
        <w:t xml:space="preserve">B. THE OPERATION  </w:t>
        <w:br/>
        <w:t xml:space="preserve">3. The operation is part of a conciliation procedure opened by an order of the Commercial Court of Bobigny on May 19, 2020, following the financial difficulties encountered by the Conforama group since 2017, exacerbated by the health crisis related to Covid-19. By letter dated July 23, 2020, the Authority granted Mobilux a derogation from the suspensive effect of merger control, pursuant to Article L. 430-4 of the Commercial Code. By judgment dated September 21, 2020, the Commercial Court of Bobigny approved the conciliation protocol of July 7, 2020, which provides for the acquisition of the Conforama France assets by Mobilux.  </w:t>
        <w:br/>
        <w:t>2 The company But International recently took control of SAS Connexity, or "DRAWER", through the acquisition of part of the share capital of this company. Drawer is active solely in the online sale of furniture and decoration products to individuals and professionals via the website www.drawer.fr. In 2021, it generated revenue of less than 20 million euros.</w:t>
      </w:r>
    </w:p>
    <w:p>
      <w:r>
        <w:t xml:space="preserve">4. Insofar as it results in the exclusive control of the Conforama France assets by Mobilux, the notified operation constitutes a concentration within the meaning of Article L. 430-1 of the Commercial Code.  </w:t>
        <w:br/>
        <w:t xml:space="preserve">5. This operation falls under the jurisdiction of the European Union pursuant to paragraph 2 of Article 1 of Council Regulation (EC) No. 139/2004 on concentrations. Indeed, the companies involved have together achieved a consolidated worldwide turnover of more than 5 billion euros (CD&amp;R/WM/Mobilux: [≥ 5 billion] euros for the fiscal year ending in 2019; Conforama France: [≤ 5 billion] euros for the fiscal year ending in 2019). Furthermore, each of them has achieved a turnover in the European Union exceeding 250 million euros (CD&amp;R/WM/Mobilux: [≥ 250 million] euros for the fiscal year ending in 2019; Conforama France: [≥ 250 million] euros for the fiscal year ending in 2019). Finally, only Conforama France has generated more than two-thirds of its turnover in the European Union in a single Member State, France.  </w:t>
        <w:br/>
        <w:t xml:space="preserve">6. On June 22, 2020, Mobilux requested the European Commission (hereinafter "the Commission"), by means of a reasoned memorandum, to refer the operation in its entirety to the Authority, pursuant to paragraph 4 of Article 4 of the aforementioned Regulation No. 139/2004. By decision No. M.9894 of June 26, 2020, the Commission considered that the conditions for a referral to the Authority were met. The exclusive control of the Conforama France assets by Mobilux is therefore subject, pursuant to IV of Article L. 430-2 of the Commercial Code, to French merger control.  </w:t>
        <w:br/>
        <w:t xml:space="preserve">II. Delimitation of the relevant markets  </w:t>
        <w:br/>
        <w:t xml:space="preserve">A. MARKETS FOR PRODUCTS AND SERVICES  </w:t>
        <w:br/>
        <w:t xml:space="preserve">7. In the retail sector, competition authorities generally recognize two categories of markets: (i) upstream supply markets that connect suppliers and retail businesses, and (ii) downstream distribution markets that connect retail businesses and final consumers.  </w:t>
        <w:br/>
        <w:t xml:space="preserve">8. As the Authority recalled, "the type of products sold is one of the most important criteria for delineating markets in the retail sector. Moreover, the format and size of the store are also important criteria for market delineation in that they determine, in particular, the ability of the point of sale in question to market a greater or lesser number of products or to offer certain ancillary services. Large specialized stores (GSS) are thus distinguished from large food stores (GSA) and proximity commerce."3  </w:t>
        <w:br/>
        <w:t>3 See for example the Authority's decisions No. 15-DCC-28 of March 17, 2015, regarding the exclusive control of six stores under the Fly and Atlas brands by But International, and No. 16-DCC-139 of August 29, 2016, regarding the exclusive control of eighteen stores under the But brand by But International.</w:t>
      </w:r>
    </w:p>
    <w:p>
      <w:r>
        <w:rPr>
          <w:b/>
        </w:rPr>
        <w:t>[Pages 13–15]</w:t>
      </w:r>
    </w:p>
    <w:p>
      <w:r>
        <w:t>9. In this case, the parties are two large-scale retailers (GSS), simultaneously active in the retail trade of furniture products, bazaar and decoration products, as well as household appliances.</w:t>
      </w:r>
    </w:p>
    <w:p>
      <w:r>
        <w:t>1. UPSTREAM MARKETS FOR THE SUPPLY OF FURNITURE, BAZAAR AND DECORATION PRODUCTS, AND HOUSEHOLD APPLIANCES</w:t>
      </w:r>
    </w:p>
    <w:p>
      <w:r>
        <w:t>10. Regarding the upstream supply markets, the decision-making practice has noted that "producers manufacture specific products or groups of products and are not technically able to easily convert to the manufacture of other products without significant costs" and "that at the supply level, one can consider that there are as many markets as there are product families subject to negotiation, each distributor putting various suppliers in competition in each of the markets." Thus, a breakdown by product group can be considered relevant.</w:t>
      </w:r>
    </w:p>
    <w:p>
      <w:r>
        <w:t>a) Upstream markets for the supply of furniture products</w:t>
      </w:r>
    </w:p>
    <w:p>
      <w:r>
        <w:t>11. The Commission analyzed the effects of a concentration operation on the supply markets for furniture products in a recent decision from 2020. It thus considered delimiting this market based on:</w:t>
        <w:br/>
        <w:t>- the distribution channels of customers, distinguishing traditional distribution, low-cost distribution specialized in ready-to-assemble furniture, and online distribution;</w:t>
        <w:br/>
        <w:t>- the price range of products (low-priced furniture, mid-priced and high-priced furniture);</w:t>
        <w:br/>
        <w:t>- the nature of the furniture (pre-assembled or to be assembled by the consumer);</w:t>
        <w:br/>
        <w:t>- the type or use of the furniture (for example, kitchen, living room, upholstered furniture, bedding, etc.).</w:t>
      </w:r>
    </w:p>
    <w:p>
      <w:r>
        <w:t>12. However, the Commission left open the question of the exact delimitation of the relevant markets.</w:t>
      </w:r>
    </w:p>
    <w:p>
      <w:r>
        <w:t>4 The parties also offer garden furniture for sale. However, this activity is very marginal for the parties since garden furniture sales represented respectively [0-5]% and [0-5]% of the 2020 revenues of But and Conforama France (reference 16679). This activity is included by the Authority in the market for the retail distribution of gardening, DIY, pet, and outdoor products, on which the Authority considers that only agricultural self-service stores (LISA), garden centers, DIY superstores (GSB), and food superstores (GSA) are active. The Authority does not include in its analysis the furniture GSS such as But and Conforama. In light of these elements, it does not appear necessary to analyze in more detail the effects of the operation on the retail distribution activity of garden furniture of the parties, which in any case would only be marginal.</w:t>
      </w:r>
    </w:p>
    <w:p>
      <w:r>
        <w:t>5 See decision no. 15-DCC-28 cited above.</w:t>
      </w:r>
    </w:p>
    <w:p>
      <w:r>
        <w:t>6 European Commission decision M.9609 Mann Mobilia / Tessner Holding / Tejo / Roller of November 30, 2020.</w:t>
      </w:r>
    </w:p>
    <w:p>
      <w:r>
        <w:t>13. National decision-making practice has identified a global market for the supply of furniture. It has also identified different markets based on the type of furniture, such as the market for the supply of fitted kitchens or the market for the production and manufacturing of bedding products.</w:t>
      </w:r>
    </w:p>
    <w:p>
      <w:r>
        <w:t>14. The market test conducted with suppliers of furniture products as part of the investigation of the present operation confirmed the relevance of segmentation based on the type of furniture, with most suppliers being specialized in the manufacture of a single category of furniture products. Moreover, a very large majority of respondents considered that they did not have the possibility to produce other product families than the one(s) in which they were active. Indeed, production lines are not adapted to work with all raw materials, and the different types of furniture require different technologies.</w:t>
      </w:r>
    </w:p>
    <w:p>
      <w:r>
        <w:t>15. Therefore, the Authority considers that there is no need to challenge the delimitations of the upstream supply markets for furniture products considered by the European Commission, and particularly considers that segmentation by type of furniture is relevant.</w:t>
      </w:r>
    </w:p>
    <w:p>
      <w:r>
        <w:t>16. In this case, both parties are active, as buyers, in the supply markets for all these product groups.</w:t>
      </w:r>
    </w:p>
    <w:p>
      <w:r>
        <w:t>b) Upstream market for the supply of bazaar and decoration products</w:t>
      </w:r>
    </w:p>
    <w:p>
      <w:r>
        <w:t>17. The decision-making practice has identified a global market for the supply of bazaar and decoration products.</w:t>
      </w:r>
    </w:p>
    <w:p>
      <w:r>
        <w:t>18. There is no need to challenge the existence of such a market in the context of the examination of the present operation. The competitive analysis will thus be conducted on this market.</w:t>
      </w:r>
    </w:p>
    <w:p>
      <w:r>
        <w:t>c) Upstream markets for the supply of household appliances</w:t>
      </w:r>
    </w:p>
    <w:p>
      <w:r>
        <w:t>19. Regarding the supply of household appliances, the decision-making practice has identified the following markets: (i) small household appliances, (ii) large household appliances, (iii) cameras/cinema, (iv) hi-fi/sound devices, (v) TV/video devices, (vi) computers/peripherals, and (vii) telephony.</w:t>
      </w:r>
    </w:p>
    <w:p>
      <w:r>
        <w:t>20. The Authority has also questioned the relevance of retaining a distinct market for video game products (including consoles, accessories, and video games).</w:t>
      </w:r>
    </w:p>
    <w:p>
      <w:r>
        <w:t>7 See in particular decisions no. 15-DCC-28 and no. 16-DCC-139 cited above.</w:t>
      </w:r>
    </w:p>
    <w:p>
      <w:r>
        <w:t>8 Decisions no. 09-DCC-22 of July 20, 2009, regarding the joint control of the company Groupe Arthur Bonnet by the companies Snaidero and Nobilia, and no. 15-DCC-15 of February 23, 2015, regarding the exclusive control of the company Nobia Holding France SAS by the company Fournier SA.</w:t>
      </w:r>
    </w:p>
    <w:p>
      <w:r>
        <w:t>9 Letter from the Minister of Economy, Finance and Industry C2006-118, of November 28, 2006, to the board of the company Cauval Industries, regarding a concentration in the mattress and box spring manufacturing sector.</w:t>
      </w:r>
    </w:p>
    <w:p>
      <w:r>
        <w:t>10 Decision no. 17-DCC-216 of December 18, 2017, regarding the exclusive control of the assets of the companies Lilnat, Vetura, and Agora Distribution by the company Groupe Philippe Ginestet.</w:t>
      </w:r>
    </w:p>
    <w:p>
      <w:r>
        <w:t>11 Decision no. 20-DCC-49 of March 27, 2020, regarding the exclusive control of Top Achat by the LDLC group.</w:t>
      </w:r>
    </w:p>
    <w:p>
      <w:r>
        <w:t>21. There is no need to challenge the delimitations of the market for the supply of household appliances in the context of the examination of the present operation.</w:t>
      </w:r>
    </w:p>
    <w:p>
      <w:r>
        <w:t>22. In this case, the parties simultaneously supply large household appliances, small household appliances, hi-fi/sound devices, and TV/video devices.</w:t>
      </w:r>
    </w:p>
    <w:p>
      <w:r>
        <w:t>2. DOWNSTREAM MARKETS FOR THE DISTRIBUTION OF FURNITURE, BAZAAR, AND DECORATION PRODUCTS AND HOUSEHOLD APPLIANCES</w:t>
      </w:r>
    </w:p>
    <w:p>
      <w:r>
        <w:t>a) Downstream markets for the retail distribution of furniture products</w:t>
      </w:r>
    </w:p>
    <w:p>
      <w:r>
        <w:t>23. The parties market a very wide range of furniture products. These products concern all rooms of a dwelling and can be grouped into six categories, commonly accepted by the actors in the furniture sector themselves (see on this point paragraph 55 below):</w:t>
        <w:br/>
        <w:t>- furniture (tables, bookshelves, wardrobes, TV furniture, etc.);</w:t>
        <w:br/>
        <w:t>- upholstered furniture (sofas, armchairs, and chaise longues mainly);</w:t>
        <w:br/>
        <w:t>- bedding (mattresses and box springs);</w:t>
        <w:br/>
        <w:t>- kitchens (excluding household appliances);</w:t>
        <w:br/>
        <w:t>- bathrooms;</w:t>
        <w:br/>
        <w:t>- dressing rooms.</w:t>
      </w:r>
    </w:p>
    <w:p>
      <w:r>
        <w:t>24. The last three categories can be grouped under the term "project furniture" insofar as they all require a specific adaptation to the dwelling and thus a prior study whose extent may vary. In particular, despite their fairly close functions, a distinction is made between wardrobes, which fall under the category of furniture, and dressing rooms, which require specific adaptation to the location where they are installed.</w:t>
      </w:r>
    </w:p>
    <w:p>
      <w:r>
        <w:t>25. Furniture products are marketed by different categories of actors. They are mainly offered by large-scale retailers in home equipment and furniture products, generalist furniture brands, specialized furniture stores, and DIY superstores (hereinafter "GSB").</w:t>
      </w:r>
    </w:p>
    <w:p>
      <w:r>
        <w:t>The large-scale retailers in home equipment and furniture products</w:t>
      </w:r>
    </w:p>
    <w:p>
      <w:r>
        <w:t>26. But and Conforama are the main large-scale retailers in home equipment in France. These brands offer both furniture products and a wide range of household appliances, which differentiates them from furniture-only large-scale retailers. The range of furniture products offered by large-scale retailers in home equipment is equivalent to that of furniture-only large-scale retailers. Indeed, their offer is just as extensive and similarly includes a large portion of ready-to-assemble furniture.</w:t>
      </w:r>
    </w:p>
    <w:p>
      <w:r>
        <w:t>27. Furniture-only large-scale retailers are national brands specialized in furniture products such as Ikea, Fly, or Alinéa. The points of sale of these brands offer "consistently throughout the year a wide assortment of products" and the brands are present across all families of furniture.</w:t>
      </w:r>
    </w:p>
    <w:p>
      <w:r>
        <w:rPr>
          <w:b/>
        </w:rPr>
        <w:t>[Pages 16–18]</w:t>
      </w:r>
    </w:p>
    <w:p>
      <w:r>
        <w:t>furniture such as Ikea, Fly, or Alinéa. The points of sale of these brands offer "consistently throughout the year a wide assortment of products"12 and the brands are present across all families of furniture. These are brands that favor ready-to-assemble furniture (sold in kits) and offer a range of entry-level and mid-range products. They have ranges and pricing positions similar to those of the parties.</w:t>
      </w:r>
    </w:p>
    <w:p>
      <w:r>
        <w:t>28. According to a Xerfi study on furniture distribution in France13, large-scale retail (GSS) in home equipment and furniture represented 41% of sector sales in 2019.</w:t>
      </w:r>
    </w:p>
    <w:p>
      <w:r>
        <w:t>Generalist furniture brands</w:t>
        <w:br/>
        <w:t>29. These are national brands with a mid-range or high-end positioning. Their offer is centered on living room furniture composed of already assembled furniture. The points of sale of these brands are generally smaller than those of the previously mentioned GSS. This category includes brands such as Maisons du Monde, Monsieur Meuble, Mobilier de France, Habitat, Géant du Meuble, Cinna, or Ligne Roset. In 2019, the combined sales of these players represented 12% of the furniture sector sales14.</w:t>
      </w:r>
    </w:p>
    <w:p>
      <w:r>
        <w:t>30. These brands offer narrower ranges than the parties, particularly in the product families related to bathrooms and kitchens. They offer assembled furniture and often have a price positioning higher than that of the parties.</w:t>
      </w:r>
    </w:p>
    <w:p>
      <w:r>
        <w:t>Specialized furniture stores</w:t>
        <w:br/>
        <w:t>31. Specialized furniture stores (or specialists) refer to points of sale specializing in a single family of furniture products, such as kitchen or bathroom furniture, bedding, or sofas and armchairs. These brands can, in addition to their main offer centered on one family of products, offer other families of products. According to Xerfi, the turnover generated in France by these brands represented 23.7% of the furniture sector sales in 201915.</w:t>
      </w:r>
    </w:p>
    <w:p>
      <w:r>
        <w:t>Large DIY stores (GSB)</w:t>
        <w:br/>
        <w:t>32. Several GSB brands have developed an offer of home improvement products, including both products for carrying out work and others for furnishing the home. GSBs often have a significant offer in kitchens, bathrooms, and dressing rooms, that is, in all families of "project" furniture. Xerfi estimates that this channel represents 12.9% of the furniture sector sales.</w:t>
      </w:r>
    </w:p>
    <w:p>
      <w:r>
        <w:t>Current decision-making practice</w:t>
        <w:br/>
        <w:t>33. The decision-making practice distinguishes between furniture products, on the one hand, and bazaar and decoration products, on the other hand, as these two categories cannot be considered substitutable by consumers due to major differences in terms of use, price, necessity of purchase, or customer services16.</w:t>
      </w:r>
    </w:p>
    <w:p>
      <w:r>
        <w:t>34. It has recognized the existence of a global market for the distribution of furniture products in which GSS are present "offering the final consumer a wide assortment of products, excluding decorative items, throughout the year" such as the parties but also GSS in furniture products such as Ikea and Alinéa, as well as generalist furniture brands with an offer centered on living room furniture such as Maisons du Monde or Habitat17.</w:t>
      </w:r>
    </w:p>
    <w:p>
      <w:r>
        <w:t>35. It considers, on the other hand, that GSA, GSB, and garden centers do not belong to this market, given their limited (and occasional in the case of GSA) offer in furniture products18. Similarly, the Authority has considered that specialized furniture stores (distributors of living room, kitchen, and bedding furniture) do not belong to this market, as "while specialist distributors constitute a real alternative for part of the clientele with specific and limited furnishing needs, they do not appear as the closest competitors to generalists with whom it is possible to satisfy all of one's furnishing needs"19.</w:t>
      </w:r>
    </w:p>
    <w:p>
      <w:r>
        <w:t>36. The decision-making practice considers a distinction based on price range by distinguishing, on the one hand, the marketing of entry-level and mid-range furniture and, on the other hand, high-end furniture20.</w:t>
      </w:r>
    </w:p>
    <w:p>
      <w:r>
        <w:t>37. Finally, the decision-making practice has considered, while leaving the question open, the existence of a single market for the retail distribution of furniture products combining physical store sales and distance sales (including both catalog sales and online sales)21.</w:t>
      </w:r>
    </w:p>
    <w:p>
      <w:r>
        <w:t>38. In this case, the parties are GSS offering entry-level and mid-range products in physical stores and online.</w:t>
      </w:r>
    </w:p>
    <w:p>
      <w:r>
        <w:t>Position of the parties on the functioning of the market</w:t>
        <w:br/>
        <w:t>39. The notifying party contests the decision-making practice of the Competition Authority regarding the distribution of furniture products.</w:t>
      </w:r>
    </w:p>
    <w:p>
      <w:r>
        <w:t>Competitive pressure exerted by GSA</w:t>
        <w:br/>
        <w:t>40. The notifying party argues that GSA exert competitive pressure on the parties and should be included in the downstream market for the distribution of furniture products, both in online sales and in physical store sales.</w:t>
      </w:r>
    </w:p>
    <w:p>
      <w:r>
        <w:t>Segmentation of the market between physical store sales and online sales</w:t>
        <w:br/>
        <w:t>41. The notifying party believes that, given the very significant competitive pressure exerted by online sales, which predated the Covid-19 crisis but was exacerbated by it, online sales and physical store sales should be integrated into a single market. It also notes that the players present have developed multichannel and omnichannel strategies and that those active on both channels offer the same products under the same conditions.</w:t>
      </w:r>
    </w:p>
    <w:p>
      <w:r>
        <w:t>Taking into account all brands offering furniture products</w:t>
        <w:br/>
        <w:t>42. The notifying party indicates that the boundaries between types of furniture brands (specialists, generalists, multi-specialists, or GSB) are clearly blurring, and that it would be appropriate today to consider a single market for products in which all categories of brands would be taken into account.</w:t>
      </w:r>
    </w:p>
    <w:p>
      <w:r>
        <w:t>43. The notifying party believes that specialists as well as GSB represent a strong alternative for consumer demand. It cites various economic studies regarding the positioning of GSB in terms of furniture. It particularly refers to the Xerfi study of 2021 on furniture distribution, which indicates that "with 14% market share in 2020, large DIY stores (Leroy Merlin, Castorama, Bricomarché, etc.) are establishing themselves as the leading non-specialized circuit in furniture distribution. These players are increasingly positioning themselves as specialists in home improvement in the broad sense, from renovation and decoration work to equipment. They thus benefit from strong synergies between the core of their offer and their assortment of furniture (mainly kitchen, bathroom, storage, and garden furniture)."22</w:t>
      </w:r>
    </w:p>
    <w:p>
      <w:r>
        <w:t>44. It also believes that kitchen specialists and bedding specialists are particularly attractive in the furniture distribution market. It specifies, for example, regarding kitchen distribution, that "..."23. It also indicates that about [30-40]% of Conforama consumers who inquired about upholstered furniture or bedding also consulted a specialist, and that this share reaches nearly [50-60]% regarding kitchen furniture24.</w:t>
      </w:r>
    </w:p>
    <w:p>
      <w:r>
        <w:t>45. The notifying party considers, in particular, that the fact that specialists do not offer all families of furniture products does not mean that GSS/generalists and specialists are not present in the same market, as consumers rarely make simultaneous purchases of furniture for different rooms (the bedroom, dining room, and kitchen, for example). It specifies in this regard that But customers purchase an average of [0-2] items per purchase and that more than 90% of purchases made concern a single product category. Regarding Conforama, it specifies that customers primarily purchase one to two products and that approximately [80-90]% of purchases concern a single product category25.</w:t>
      </w:r>
    </w:p>
    <w:p>
      <w:r>
        <w:rPr>
          <w:b/>
        </w:rPr>
        <w:t>[Pages 19–21]</w:t>
      </w:r>
    </w:p>
    <w:p>
      <w:r>
        <w:t>Segmentation of the market by product range</w:t>
        <w:br/>
        <w:t>46. The notifying party considers that "low-end" or "mid-range" furniture tends to be stylistically similar to high-end products. Consequently, it believes that the market for the retail distribution of furniture products should not be segmented based on the product range.</w:t>
      </w:r>
    </w:p>
    <w:p>
      <w:r>
        <w:t>Assessment in the specific case</w:t>
        <w:br/>
        <w:t>On the consideration of GSA</w:t>
        <w:br/>
        <w:t>47. It emerges from the responses of the GSA to the phase one market test that the revenue they generate from the distribution of furniture products is residual and that the space dedicated to furniture products is minimal. As a result, the Authority considers that the GSA do not belong to the brands to be included in the market for the retail distribution of furniture products.</w:t>
      </w:r>
    </w:p>
    <w:p>
      <w:r>
        <w:t>On the consideration of online sales</w:t>
        <w:br/>
        <w:t>48. The market test conducted with competitors highlighted the existence of substitutability between sales in physical stores and those online. Indeed, more than 90% of respondents indicate that online sales compete with physical stores. More than 80% of respondents believe that customers compare prices online and in stores before purchasing. However, several respondents indicated that there are still obstacles to the development of online sales, particularly due to customers' desire to see or test the product before purchasing and delivery conditions (for example, regarding price, distance, or logistics). However, they also concede that brands have developed solutions to improve the quality of the online shopping experience with videos, consumer reviews, 360° photographs, easy return solutions, and other innovative solutions to enable the customer to make an informed choice.</w:t>
      </w:r>
    </w:p>
    <w:p>
      <w:r>
        <w:t>49. Thus, although some obstacles remain, such as the inability to test the product, the Authority considers that the market for the retail distribution of furniture products includes both online and physical store sales, given the strong competitive pressure exerted by online sales on physical store sales, illustrated by a constantly increasing penetration rate of online sales, the development of an omnichannel strategy by market players, and the standardization of the online and in-store offerings, whether in terms of products, prices, or services.</w:t>
      </w:r>
    </w:p>
    <w:p>
      <w:r>
        <w:t>On the consideration of a single market for the distribution of furniture products</w:t>
        <w:br/>
        <w:t>50. The Authority's decision-making practice does not segment the market based on the family of furniture products. This situation directly results from the fact that until now, the Authority considered that GSS and specialists operated in different markets, with GSS aiming to meet customer needs for a wide range of products.</w:t>
      </w:r>
    </w:p>
    <w:p>
      <w:r>
        <w:t>51. While it is true that the strength of GSS and generalists lies in their ability to present all families of furniture products, various elements collected during the investigation establish that it is now quite rare for a customer to purchase products belonging to different categories, except for bazaar and decoration items.</w:t>
      </w:r>
    </w:p>
    <w:p>
      <w:r>
        <w:t>52. Except for these items, GSS and generalists indicated, in response to the market test, that the vast majority of customers come to the store to purchase a product belonging to a particular family, meeting a specific need, and do not buy any other product belonging to another family of furniture products.</w:t>
      </w:r>
    </w:p>
    <w:p>
      <w:r>
        <w:t>53. Thus, the average basket of customers of the respondents to the market test consists of items belonging to one or two families of furniture products, with an average of 1.6 product families. The market test also established that only 26% of customers of the respondents purchase furniture products belonging to different families.</w:t>
      </w:r>
    </w:p>
    <w:p>
      <w:r>
        <w:t>54. Almost all respondents to the market test conducted during the in-depth examination (31 out of 33 respondents, or 94%) believe that it is necessary to distinguish between different families of products within the furniture market. Some respondents further specified that the products are not substitutable either from the demand perspective, "the products meet different customer needs," or from the supply perspective, as some players specialize in a single product family.</w:t>
      </w:r>
    </w:p>
    <w:p>
      <w:r>
        <w:t>55. The respondents also widely confirmed the relevance of segmentation according to the following families: upholstered furniture, kitchen furniture, bathroom furniture, wardrobes and closets, upholstered furniture, and bedding. This segmentation also reflects that of the IPEA (Institute for Prospective and Study of Furniture) or studies by Xerfi and is representative of the equipment related to the furnishing of the interior of a dwelling.</w:t>
      </w:r>
    </w:p>
    <w:p>
      <w:r>
        <w:t>56. The survey conducted among consumers of But and Conforama who made a purchase at one of the two brands in the past two years confirms the results of the market test: the average basket of customers of But and Conforama consists of [0-2] product families. Only [30-40]% of consumers of But and Conforama (representing respectively [30-40]% and [30-40]% of sales value) purchased multiple types of furniture during their visit, and among them, [70-80]% only purchased one additional type of furniture.</w:t>
      </w:r>
    </w:p>
    <w:p>
      <w:r>
        <w:t>57. Furthermore, a majority of respondents believe that specialists, for the families of products they distribute, compete with generalist brands as well as with GSS. However, this competitive proximity varies according to the family of products. Thus, 75% of respondents believe that specialists in upholstered furniture compete with GSS and generalists, while only 44% of them consider that bathroom specialists compete with GSS and generalists. For all families of furniture, the figures are as follows:</w:t>
        <w:br/>
        <w:t>- 54% for kitchens;</w:t>
        <w:br/>
        <w:t>- 52% for wardrobes;</w:t>
        <w:br/>
        <w:t>- 70% for bedding;</w:t>
        <w:br/>
        <w:t>- 75% for upholstered furniture;</w:t>
        <w:br/>
        <w:t>- 44% for bathrooms.</w:t>
      </w:r>
    </w:p>
    <w:p>
      <w:r>
        <w:t>58. Finally, the actors were asked about the competitive proximity that may exist between GSB, on the one hand, and GSS and generalists, on the other hand. The vast majority of respondents (75% of them) believe that GSB compete with generalists and GSS. However, they consider that this competition mainly occurs in the so-called "project" product families, namely kitchens, bathrooms, and wardrobes.</w:t>
      </w:r>
    </w:p>
    <w:p>
      <w:r>
        <w:t>59. The aforementioned survey confirms the competitive proximity between, on the one hand, GSS/generalist brands and specialists for four product families (kitchen, bedding, bathroom, and upholstered furniture) and, on the other hand, GSS/generalist brands and GSB for two product families (kitchens and bathrooms). Customers of But and Conforama were asked about their store of choice in the event of a 10% price increase across all GSS and generalist stores outside the internet, for each product category (excluding wardrobes). Nearly 40% of generalist switches are directed towards specialists for the "kitchen" and "bedding" categories. For bathrooms and upholstered furniture, the switches to specialists are lower but remain significant (28% and 24%, respectively). Finally, for the "kitchen" and "bathroom" categories, more than 40% of consumers who switch indicate a preference for GSB.</w:t>
      </w:r>
    </w:p>
    <w:p>
      <w:r>
        <w:t>60. In light of the aforementioned elements, the Authority considers, on the one hand, that it is no longer relevant to retain a global market for the distribution of furniture products, which should be segmented into six product families (upholstered furniture, kitchen furniture, bathroom furniture, wardrobes and closets, upholstered furniture, and bedding) and, on the other hand, that there is competitive pressure exerted on GSS and generalists by specialists and by GSB on certain product families (as indicated in the table in paragraph 203).</w:t>
      </w:r>
    </w:p>
    <w:p>
      <w:r>
        <w:t>On segmentation based on price ranges</w:t>
        <w:br/>
        <w:t>61. The decision-making practice has considered a distinction based on price range by distinguishing, on the one hand, the marketing of entry-level and mid-range furniture and, on the other hand, that of high-end furniture.</w:t>
      </w:r>
    </w:p>
    <w:p>
      <w:r>
        <w:t>62. The market test conducted during the phase 1 examination confirmed the relevance of segmenting the market based on the price positioning of brands, with nearly 70% of respondents favoring this option. More than three-quarters of respondents indicated that moving upmarket results in higher expectations in terms of product quality (materials, design, customization options, etc.) and service quality (in-store reception and quality of advice).</w:t>
      </w:r>
    </w:p>
    <w:p>
      <w:r>
        <w:t>63. The market test also confirmed the existence of a certain permeability between entry-level and mid-range, while the competitive pressure exerted by high-end and luxury products on entry-level and mid-range appears very weak.</w:t>
      </w:r>
    </w:p>
    <w:p>
      <w:r>
        <w:t>64. In light of these elements, the Authority's decision-making practice of segmenting the furniture products market based on price range, distinguishing brands operating in the entry and mid-range, where the parties operate, from brands operating in the higher ranges (high-end and luxury), still appears relevant.</w:t>
      </w:r>
    </w:p>
    <w:p>
      <w:r>
        <w:t>Conclusions on the delimitation of the furniture products market</w:t>
        <w:br/>
        <w:t>27 See in particular decisions No. 15-DCC-28 and 16-DCC-139 mentioned above.</w:t>
        <w:br/>
        <w:t>28 See the responses to question 32 of the first competitor market test.</w:t>
      </w:r>
    </w:p>
    <w:p>
      <w:r>
        <w:rPr>
          <w:b/>
        </w:rPr>
        <w:t>[Pages 22–24]</w:t>
      </w:r>
    </w:p>
    <w:p>
      <w:r>
        <w:t>65. In light of all the elements previously developed, the market for the distribution of furniture products must be segmented by product family (furniture, upholstered furniture, bedding, kitchens, bathroom furniture, and dressing) as well as by price range. Furthermore, specialized brands, generalist brands, and DIY stores must be integrated into the market alongside large retail chains concerning only the product families they distribute. Online sales exert real competitive pressure on physical store sales, and it should be considered that these two distribution channels fall within the same market, regardless of the furniture product family considered.</w:t>
      </w:r>
    </w:p>
    <w:p>
      <w:r>
        <w:t>66. The competitive analysis will thus be conducted on the following markets in which the parties are simultaneously active:</w:t>
        <w:br/>
        <w:t>- furniture (tables, bookshelves, wardrobes, TV furniture, etc.);</w:t>
        <w:br/>
        <w:t>- upholstered furniture (sofas, armchairs, and chaise longues primarily);</w:t>
        <w:br/>
        <w:t>- bedding (mattresses and box springs);</w:t>
        <w:br/>
        <w:t>- kitchens (excluding household appliances).</w:t>
      </w:r>
    </w:p>
    <w:p>
      <w:r>
        <w:t>67. It will take into account the competition exerted by online sales as well as by all actors active in at least one of these product families, provided that their offers are positioned on entry-level and mid-range products, a pricing position that corresponds to that of the parties.</w:t>
      </w:r>
    </w:p>
    <w:p>
      <w:r>
        <w:t>68. It should be noted that previous decision-making practice had already recognized the existence of a specific market concerning the distribution of kitchens in the context of operations involving, not large retail chains offering a complete range of furniture products as is the case here, but specialized brands in the distribution of the products in question.</w:t>
      </w:r>
    </w:p>
    <w:p>
      <w:r>
        <w:t>69. Regarding the distribution of integrated kitchens, the Authority has previously conducted, on two occasions, an analysis incorporating all operators marketing this type of product (specialized brands, DIY stores, large retail chains specialized in furniture and household appliances, and independents), an analysis consistent with that proposed by the instructing services in this case. In these two decisions, it also considered that it was not relevant to segment the market by price range. However, the operation in both cases involved the merger of specialized actors, whose pricing positioning was previously indicated to be more oriented towards the high and very high end, unlike that of the parties. The fact that these operators may be subject to competitive pressure from actors offering lower-end products does not, conversely, allow for the conclusion that actors offering entry-level and mid-range items are competed against by operators whose offerings are oriented towards high and very high-end products. As previously indicated, entry-level and mid-range products are only weakly competed against by high and very high-end products.</w:t>
      </w:r>
    </w:p>
    <w:p>
      <w:r>
        <w:t>70. The competitive analysis of the retail distribution market for kitchen products will thus be conducted by taking into account only the operators offering entry-level and mid-range products.</w:t>
      </w:r>
    </w:p>
    <w:p>
      <w:r>
        <w:t>b) Downstream market for the retail distribution of bazaar and decoration products</w:t>
      </w:r>
    </w:p>
    <w:p>
      <w:r>
        <w:t>71. National decision-making practice has recognized the existence of a market for the distribution of bazaar and decoration products, which includes all home decoration and layout products, with the exception of "furniture" and household appliances.</w:t>
      </w:r>
    </w:p>
    <w:p>
      <w:r>
        <w:t>72. Decision-making practice has recognized a specific market for the retail distribution of low and mid-priced bazaar and decoration products. Indeed, the Authority noted that the brands present in this market distribute moderately priced products and do not rely on well-known brands. It considered that present in this market are large specialized retail chains (GSS) in bazaar and decoration, such as Gifi, La Foir’Fouille, GSS in personal and home equipment like Babou, discount stores like Stokomani and Noz, certain large furniture stores like Ikea and Alinéa, hypermarkets with an area of more than 6,000 m², and home equipment brands like the parties. However, the Authority considered that furniture brands and supermarkets exerted less competitive pressure on the parties.</w:t>
      </w:r>
    </w:p>
    <w:p>
      <w:r>
        <w:t>73. Finally, the Authority also considered, while leaving the question open, that there were not sufficient elements to conclude that online sales and in-store sales belong to the same market. Indeed, it noted the very low share represented by online sales of decoration and bazaar products, the necessity for the consumer to see the product, and the impulsive nature of the purchase of such products.</w:t>
      </w:r>
    </w:p>
    <w:p>
      <w:r>
        <w:t>74. There is no need to challenge these delimitations during the present investigation. The competitive analysis will thus be conducted on the market for physical store sales, on the one hand, and on the market for online sales, on the other.</w:t>
      </w:r>
    </w:p>
    <w:p>
      <w:r>
        <w:t>c) Downstream markets for the retail distribution of household appliances</w:t>
      </w:r>
    </w:p>
    <w:p>
      <w:r>
        <w:t>75. Decision-making practice has considered a segmentation of the downstream markets for the retail sale of household appliances according to two criteria: product family and distribution channel.</w:t>
      </w:r>
    </w:p>
    <w:p>
      <w:r>
        <w:t>The distinction by product family</w:t>
      </w:r>
    </w:p>
    <w:p>
      <w:r>
        <w:t>76. Competition authorities traditionally distinguish, within the category of household appliances, which includes electrical and electronic products, three product families:</w:t>
        <w:br/>
        <w:t>- white goods: cooktops, stoves, ovens, built-in sets, hoods, washing machines, dryers, dishwashers, refrigerators, freezers, small kitchen appliances, coffee makers, mixers, irons, and vacuum cleaners;</w:t>
        <w:br/>
        <w:t>- brown goods: televisions, camcorders, hi-fi and audio equipment, digital devices, and DVD players;</w:t>
        <w:br/>
        <w:t>- grey goods: personal computers, screens, peripherals (printers or scanners), keyboards, modular accessories or spare parts (memory cards or additional hard drives), software, and telephony.</w:t>
      </w:r>
    </w:p>
    <w:p>
      <w:r>
        <w:t>77. Regarding the distribution of white goods, decision-making practice has left open the question of a possible segmentation between small and large appliances.</w:t>
      </w:r>
    </w:p>
    <w:p>
      <w:r>
        <w:t>78. Competition authorities have also considered that a finer division of the market between "low-end" and "high-end" products was not relevant, as brands generally offer a wide assortment of products, regardless of their marketing positioning.</w:t>
      </w:r>
    </w:p>
    <w:p>
      <w:r>
        <w:t>79. Finally, regarding the distribution of "entertainment-multimedia" products, the Authority has considered the existence of a market for game consoles, console accessories, games for consoles and PCs, while leaving the question of its exact delimitation open.</w:t>
      </w:r>
    </w:p>
    <w:p>
      <w:r>
        <w:t>80. In this case, the parties are simultaneously active in the markets for the distribution of white goods (large and small appliances) on the one hand, and brown goods, on the other. In any event, the question of the exact delimitation of the household appliances market can remain open, with the conclusions of the competitive analysis remaining unchanged, regardless of the segmentations retained.</w:t>
      </w:r>
    </w:p>
    <w:p>
      <w:r>
        <w:t>The distinction by sales channel</w:t>
      </w:r>
    </w:p>
    <w:p>
      <w:r>
        <w:t>81. Household appliances are sold to end consumers primarily through two distinct distribution channels: distance sales and physical store sales.</w:t>
      </w:r>
    </w:p>
    <w:p>
      <w:r>
        <w:t>82. In this case, the majority of the parties' activity in the downstream market for the retail sale of household appliances is conducted through physical store sales. The parties also have online sales sites.</w:t>
      </w:r>
    </w:p>
    <w:p>
      <w:r>
        <w:t>Distance sales</w:t>
      </w:r>
    </w:p>
    <w:p>
      <w:r>
        <w:rPr>
          <w:b/>
        </w:rPr>
        <w:t>[Pages 25–27]</w:t>
      </w:r>
    </w:p>
    <w:p>
      <w:r>
        <w:t>Brown and Grey Products</w:t>
        <w:br/>
        <w:t>83. In decision no. 16-DCC-111 mentioned above, the Authority included online and in-store distribution channels within the same market. It indeed considered that, although the substitutability between these two channels is not perfect, it is now sufficient to conclude that online sales exert competitive pressure on in-store sales, such as to include them in the same market.</w:t>
        <w:br/>
        <w:t>84. There is no reason to challenge this market delimitation in the present case.</w:t>
      </w:r>
    </w:p>
    <w:p>
      <w:r>
        <w:t>White Products</w:t>
        <w:br/>
        <w:t>85. The decision-making practice has considered a single market for the retail distribution of white products including online sales and in-store sales, but has nonetheless left the question open.</w:t>
        <w:br/>
        <w:t>86. The notifying party considers that online and in-store sales of white products belong to the same market.</w:t>
        <w:br/>
        <w:t>87. In any case, the question of the exact definition of the markets for the retail distribution of white products can be left open insofar as, regardless of the delimitation retained, the conclusions of the competitive analysis remain unchanged. The competitive analysis will thus be conducted on a global market integrating both physical store sales and online sales, on an online sales market as well as on a physical store sales market.</w:t>
      </w:r>
    </w:p>
    <w:p>
      <w:r>
        <w:t>Physical Points of Sale</w:t>
        <w:br/>
        <w:t>88. Competition authorities traditionally retain three criteria to delineate markets for distribution in physical points of sale: the type of products sold, the format and size of the stores, insofar as only stores that consistently offer a wide assortment of products throughout the year exert real competitive pressure on each other.</w:t>
        <w:br/>
        <w:t>89. The decision-making practice of the Authority considers that a large specialized store (hereinafter, "GSS") in household appliances, such as Boulanger, competes with other GSS (Fnac Darty), large multi-specialist stores (such as the parties), which offer, in addition to household appliances, furniture and decoration products, groups of independent operators (Euronics/Gitem, Connexion, Digital or Expert) as well as proximity stores with a surface area of more than 300 m², large food stores (hereinafter, "GSA") with a sales area of more than 2,500 m², hard-discount stores specialized in the retail of household appliances (Électro Dépôt) as well as physical points of sale of Apple with a surface area greater than 300 m².</w:t>
        <w:br/>
        <w:t>90. There is no reason to challenge this practice in the present decision.</w:t>
      </w:r>
    </w:p>
    <w:p>
      <w:r>
        <w:t>B. GEOGRAPHICAL MARKETS</w:t>
        <w:br/>
        <w:t>39 See decision no. 16-DCC-111 mentioned above.</w:t>
        <w:br/>
        <w:t>40 See decisions no. 11-DCC-87, no. 16-DCC-111 and no. 18-DCC-131 mentioned above.</w:t>
      </w:r>
    </w:p>
    <w:p>
      <w:r>
        <w:t>1. UPSTREAM MARKETS FOR THE SUPPLY OF FURNITURE, BAZAAR, AND DECORATION PRODUCTS AND HOUSEHOLD APPLIANCES</w:t>
        <w:br/>
        <w:t>a) Upstream markets for the supply of furniture products</w:t>
        <w:br/>
        <w:t>Current Decision-Making Practice</w:t>
        <w:br/>
        <w:t>91. In the upstream markets for the supply of furniture products, the European Commission has recently favored a market of European dimension.</w:t>
        <w:br/>
        <w:t>92. National decision-making practice has, in the past, considered that the markets for bedding were of national dimension, with brand attachment and the dimensions of mattresses and box springs differing by country. It also highlighted that transportation costs were particularly high, resulting in a particularly low level of imports concerning bedding products.</w:t>
      </w:r>
    </w:p>
    <w:p>
      <w:r>
        <w:t>Position of the Notifying Party</w:t>
        <w:br/>
        <w:t>93. The notifying party considers that all markets for the supply of furniture products are of European dimension including the market for the supply of bedding products, which would no longer present distinct characteristics and which would have evolved since the ministerial decision of 2006.</w:t>
        <w:br/>
        <w:t>94. It emphasizes that transportation costs related to the bulkiness of bedding products are not specific to this sector, as upholstered furniture presents the same constraints in terms of bulkiness and specifies that bulkiness can be reduced through compression and rolling technologies for mattresses.</w:t>
        <w:br/>
        <w:t>95. It finally believes that the responses to the market test confirm that this market is of European dimension and notes that the European Commission has not retained a different dimension regarding the market for the supply of bedding products.</w:t>
      </w:r>
    </w:p>
    <w:p>
      <w:r>
        <w:t>Application to the Present Case</w:t>
        <w:br/>
        <w:t>96. As a preliminary matter, the Authority considers that it is appropriate to prioritize the arguments related to supply, the issue of this analysis being to define what economically viable alternatives exist for bedding suppliers.</w:t>
        <w:br/>
        <w:t>97. The responses to the market tests conducted in the context of the present operation confirm the European dimension of the upstream markets for the supply of furniture products except for the supply of bedding products.</w:t>
        <w:br/>
        <w:t>98. Indeed, except for bedding products, the majority of suppliers of the surveyed distributors are located, or have their production sites, within the European Union. Furthermore, distributors have the capacity to source from France but also from other regions of the world, even though it appears that beyond the euro area, the cost of transportation seems to be a barrier to entry for the import of certain products.</w:t>
      </w:r>
    </w:p>
    <w:p>
      <w:r>
        <w:t>99. On the other hand, the bedding sector still presents certain specificities, already highlighted in the ministerial decision of November 28, 2006, which justify the identification of a geographical market limited to France.</w:t>
        <w:br/>
        <w:t>100. Firstly, the bedding sector remains marked by significant transportation costs. A manufacturer of bedding products indicated that "the geographical dimension of the market depends particularly on the weight/volume ratio of the products in question. In this regard, the geographical dimension of the market is more limited for bedding products than for other lighter furniture products. Indeed, unlike other furniture products, mattresses have a very unfavorable weight/volume ratio, which makes deliveries of products over long distances unprofitable given transportation costs. This is why mattresses sold in France predominantly come from French bedding manufacturers or from European countries close to France (Belgium, Spain (Pikolin)). Thus, more than 90% of the turnover of the French industry is generated in France." Regarding the technology of rolled/compressed mattresses, highlighted by the notifying party as being capable of reducing transportation costs, this technology is not yet widespread. Moreover, it can only be applied to certain types of foam and latex mattresses and not to spring mattresses, and it does not concern box springs. The share of French exports is thus very limited (6.3% according to the Xerfi 2021 study on the furniture industry).</w:t>
      </w:r>
    </w:p>
    <w:p>
      <w:r>
        <w:t>101. Secondly, bedding products, unlike most other furniture, are products for which the brand is an important factor in consumer choice. A manufacturer of bedding products indicated that "the brand is particularly important for consumers when purchasing bedding products: indeed, the brand plays a role of safe value and is a guarantee of quality and safety. Thus, while other products can be marketed under private labels, this is not the case for bedding products." However, French brands have limited recognition outside the national territory. Cofel, the main French bedding producer, has thus pointed out that its brands have limited recognition in the French territory, making export development difficult.</w:t>
      </w:r>
    </w:p>
    <w:p>
      <w:r>
        <w:t>102. Thirdly, although sales of beds with larger dimensions are increasing, the French standard, characterized by a dimension of 140 x 190 cm, remains different from that of other European countries, making exports difficult. The Finori group, for example, indicated that "there are indeed bed dimensions or wardrobe dimensions specific to certain markets. We do not market beds, for example, in 140 x 190 in Germany, which is a standard dimension in France."</w:t>
      </w:r>
    </w:p>
    <w:p>
      <w:r>
        <w:t>103. Fourthly, among the bedding groups established abroad, most of them indicated that commercial negotiations were conducted at the national level and that the supply of their clients located in France was done through subsidiaries located in France.</w:t>
      </w:r>
    </w:p>
    <w:p>
      <w:r>
        <w:t>104. The Authority thus considers that the markets for the supply of furniture products have a European dimension, except for the market of</w:t>
      </w:r>
    </w:p>
    <w:p>
      <w:r>
        <w:rPr>
          <w:b/>
        </w:rPr>
        <w:t>[Pages 28–30]</w:t>
      </w:r>
    </w:p>
    <w:p>
      <w:r>
        <w:t>supply of bedding products, which has a national dimension due to national specificities concerning these products.</w:t>
      </w:r>
    </w:p>
    <w:p>
      <w:r>
        <w:t>b) Upstream markets for the supply of bazaar and decoration products</w:t>
        <w:br/>
        <w:t>105. The decisional practice has considered that the market for the supply of bazaar and decoration products is at least of national dimension and has also conducted its analysis at the European and global levels47.</w:t>
      </w:r>
    </w:p>
    <w:p>
      <w:r>
        <w:t>106. In any case, the question of the exact geographical delimitation of this market can be left open, insofar as, regardless of the delimitation retained, the conclusions of the competitive analysis remain unchanged. The competitive analysis will thus be conducted by considering the purchasing shares of the parties at the national level, the most conservative level of analysis.</w:t>
      </w:r>
    </w:p>
    <w:p>
      <w:r>
        <w:t>c) Upstream markets for the supply of household appliances</w:t>
        <w:br/>
        <w:t>107. In the upstream markets for the supply of household appliances, the decisional practice has so far retained at least a national, if not European, dimension of the markets48.</w:t>
      </w:r>
    </w:p>
    <w:p>
      <w:r>
        <w:t>108. In any case, the question of the exact geographical delimitation of these markets can be left open insofar as, regardless of the delimitation retained, the conclusions of the competitive analysis remain unchanged. The competitive analysis will thus be conducted by considering the purchasing shares of the parties at the national level, the most conservative level of analysis.</w:t>
      </w:r>
    </w:p>
    <w:p>
      <w:r>
        <w:t>2. DOWNSTREAM MARKETS FOR THE DISTRIBUTION OF FURNITURE PRODUCTS, BAZAAR AND DECORATION PRODUCTS, AND HOUSEHOLD APPLIANCES</w:t>
        <w:br/>
        <w:t>109. The downstream markets for the distribution of furniture products, bazaar and decoration products, and household appliances are traditionally analyzed both at the national and local levels (a). The dimension of local markets varies according to the markets for the products considered (b).</w:t>
      </w:r>
    </w:p>
    <w:p>
      <w:r>
        <w:t>a) Analysis at the national and local levels of distribution markets</w:t>
        <w:br/>
        <w:t>Current decisional practice</w:t>
        <w:br/>
        <w:t>110. Distribution markets are generally subject to a dual analysis at both the national and local levels. The Competition Authority49 and the Commission50 have noted, in various decisions concerning this sector, that several elements of the competitive analysis can be examined in a context broader than the local level. Indeed, important parameters of competition can be assessed at the national level, particularly when prices are largely determined at this level by network heads, leaving only a small margin of pricing maneuver for store managers. Similarly, certain non-price strategic decisions can be centralized, such as the structure of assortments, after-sales services, quality controls, advertising campaigns, customer loyalty policies (for example, through loyalty cards), promotional actions, or the launch of new products, or even the store location policy.</w:t>
      </w:r>
    </w:p>
    <w:p>
      <w:r>
        <w:t>111. Furthermore, when the decisional practice distinguishes between sales in physical stores and online sales, the competitive analysis concerning online sales is conducted at the national level.</w:t>
      </w:r>
    </w:p>
    <w:p>
      <w:r>
        <w:t>Position of the parties</w:t>
        <w:br/>
        <w:t>112. The notifying party contests the local dimension of the market for the distribution of furniture products. It argues that this market has only a national dimension, given the high penetration rate of online sales.</w:t>
      </w:r>
    </w:p>
    <w:p>
      <w:r>
        <w:t>Assessment in the specific case</w:t>
        <w:br/>
        <w:t>113. Although it is relevant to analyze the market for the distribution of furniture products at the national level, as various parameters of competition can be evaluated at this stage, several elements lead to the conclusion that there are strong local competitive interactions and confirm the relevance of a local level analysis.</w:t>
      </w:r>
    </w:p>
    <w:p>
      <w:r>
        <w:t>114. First, the parties have implemented a policy of opening points of sale in metropolitan France and in the DROM since July 2021 (sixteen stores, including fourteen franchised in metropolitan France and one franchised store in the DROM for the But brand and four franchised stores, only in the DROM, for the Conforama brand). This network development, which is expected to continue until 2023, strengthens the fine territorial coverage of the two brands (322 stores for But and 170 for Conforama across the entire French territory) and reflects the importance of having nearby points of sale.</w:t>
      </w:r>
    </w:p>
    <w:p>
      <w:r>
        <w:t>115. Second, the survey conducted among But and Conforama consumers asked them about their motivation for choosing a brand. The surveyed consumers had to rank thirteen response options in order of preference. The majority of customers (except for the "bathroom" segment) indicate first or second choice the distance between the store and their home. It follows that the distance consumers are willing to cover for their purchases is a determining parameter of competition.</w:t>
      </w:r>
    </w:p>
    <w:p>
      <w:r>
        <w:t>116. Third, the parties confirmed during the investigation that occasional adaptations of national prices were possible. Indeed, while But International indicates that it applies the same prices online and in stores, the brand specifies that some promotions differ between these two channels. Therefore, physical stores of the But brand can adapt national prices at the local level to take into account the competitive situation in the area.</w:t>
      </w:r>
    </w:p>
    <w:p>
      <w:r>
        <w:t>117. In any case, the fact that But has differentiated its commercial policy little before the operation does not allow for conclusions about its future behavior. Indeed, following the operation, as will be demonstrated in paragraphs 284 to 288, But will have significant market power giving it a greater incentive to adapt its commercial policy based on the competitive pressure experienced locally.</w:t>
      </w:r>
    </w:p>
    <w:p>
      <w:r>
        <w:t>118. Therefore, the markets for the distribution of furniture products must be subject to a local analysis, in addition to the national analysis.</w:t>
      </w:r>
    </w:p>
    <w:p>
      <w:r>
        <w:t>119. The competitive analysis will thus be conducted at both the national and local levels concerning the markets for the distribution of furniture products, bazaar and decoration products, and household appliances.</w:t>
      </w:r>
    </w:p>
    <w:p>
      <w:r>
        <w:t>b) Determination of the dimension of local distribution markets</w:t>
        <w:br/>
        <w:t>120. The dimension of distribution markets varies depending on the type of products concerned and the attractiveness of the stores.</w:t>
      </w:r>
    </w:p>
    <w:p>
      <w:r>
        <w:t>Local markets for the retail distribution of furniture products</w:t>
        <w:br/>
        <w:t>121. Regarding the distribution of furniture products, competition authorities have estimated that consumers are willing to travel for a duration of 20 to 45 minutes to reach a store and compare products and prices from one brand to another. However, this duration varies depending on the size of the store and other characteristics specific to each area, such as geography, population density, or other nearby stores.</w:t>
      </w:r>
    </w:p>
    <w:p>
      <w:r>
        <w:t>122. The Authority has considered, while leaving the question open, (i) 20-minute driving zones in the Paris region and the largest provincial cities and (ii) 30-minute zones outside major cities.</w:t>
      </w:r>
    </w:p>
    <w:p>
      <w:r>
        <w:t>123. The notifying party has provided the actual footprints of the parties' points of sale. These allow for an accurate snapshot of the customers who usually frequent the points of sale. Actual footprints are particularly used when the maximum travel time that buyers are willing to consent is not established. In this case, however, the investigation has established a maximum travel time of 45 minutes, regardless of the family of furniture products concerned.</w:t>
      </w:r>
    </w:p>
    <w:p>
      <w:r>
        <w:t>124. Indeed, it appears from the second market test conducted with competitors that a consumer wishing to purchase furniture products in a GSS (excluding Ikea51) or in a generalist brand may consent to an average maximum travel time (all</w:t>
      </w:r>
    </w:p>
    <w:p>
      <w:r>
        <w:rPr>
          <w:b/>
        </w:rPr>
        <w:t>[Pages 31–33]</w:t>
      </w:r>
    </w:p>
    <w:p>
      <w:r>
        <w:t>types of furniture combined) of 47 minutes, this time varying very little depending on the type of furniture considered: 44 minutes for bathroom furniture to 50 minutes for kitchen furniture. The majority of operators surveyed thus believe that the travel time is homogeneous across the different families of furniture products. This time may vary depending on the amount of the purchase, the importance of the project, and the degree of involvement of the customer in their purchase, or the depth of the offer and the attractiveness of the concerned store, regardless of the family of furniture products involved.</w:t>
      </w:r>
    </w:p>
    <w:p>
      <w:r>
        <w:t>125. The results of the survey largely confirm the responses to the market test. Indeed, it appears that 80% of respondents are willing to travel for up to 45 minutes, regardless of the family of products considered and whether they are customers of But or Conforama.</w:t>
      </w:r>
    </w:p>
    <w:p>
      <w:r>
        <w:t>126. Given these elements, the Authority considers that the analysis of the different furniture markets should be based on isochrone areas of 45 minutes around each point of sale considered.</w:t>
      </w:r>
    </w:p>
    <w:p>
      <w:r>
        <w:t>Local markets for the retail distribution of bazaar and decoration products</w:t>
      </w:r>
    </w:p>
    <w:p>
      <w:r>
        <w:t>127. The Authority deemed it necessary to assess the effects of an operation on the market for the retail distribution of bazaar and decoration products over areas of different sizes depending on the location of the points of sale. It thus retained:</w:t>
        <w:br/>
        <w:t>- areas defined by a driving time of a maximum of 20 minutes for stores located in the mainland outside of Paris intra-muros;</w:t>
        <w:br/>
        <w:t>- areas of one and two kilometers for stores located in Paris intra-muros;</w:t>
        <w:br/>
        <w:t>- areas defined by a driving time of a maximum of 20, 30, and 45 minutes for stores located in the DROM.</w:t>
      </w:r>
    </w:p>
    <w:p>
      <w:r>
        <w:t>128. There is no need to challenge this definition during the examination of the present operation.</w:t>
      </w:r>
    </w:p>
    <w:p>
      <w:r>
        <w:t>Local markets for the retail distribution of household appliances</w:t>
      </w:r>
    </w:p>
    <w:p>
      <w:r>
        <w:t>129. Regarding the local dimension of the markets for household appliances, the Authority has already, in other decisions, conducted its competitive analysis in catchment areas whose sizes vary depending on the location of the target stores:</w:t>
        <w:br/>
        <w:t>- in the provinces (outside major cities) and in the DROM, the Authority retained catchment areas corresponding to driving times of 30 minutes;</w:t>
        <w:br/>
        <w:t>- in the Paris suburbs and in major provincial cities, it retained catchment areas corresponding to driving times of 20 minutes;</w:t>
        <w:br/>
        <w:t>- in Paris, it retained an area corresponding to the city of Paris intra-muros and smaller catchment areas with a radius of three kilometers around the concerned points of sale.</w:t>
      </w:r>
    </w:p>
    <w:p>
      <w:r>
        <w:t>130. There is no need to challenge this definition during the examination of the present operation.</w:t>
      </w:r>
    </w:p>
    <w:p>
      <w:r>
        <w:t>III. Competitive analysis</w:t>
      </w:r>
    </w:p>
    <w:p>
      <w:r>
        <w:t>131. The parties have both owned stores and franchised stores. It is necessary to analyze the autonomy of the franchised stores in relation to their franchisor, in order to determine whether these stores should or should not be included alongside the stores owned by the parties in the competitive analysis.</w:t>
      </w:r>
    </w:p>
    <w:p>
      <w:r>
        <w:t>132. The operation results in the disappearance of a major franchisor group in the DROM, a risk that needs to be analyzed.</w:t>
      </w:r>
    </w:p>
    <w:p>
      <w:r>
        <w:t>133. The parties are simultaneously active, upstream as buyers and downstream as sellers, in the various markets for the supply and distribution of furniture products, bazaar and decoration products, and household appliances.</w:t>
      </w:r>
    </w:p>
    <w:p>
      <w:r>
        <w:t>A. ANALYSIS OF THE COMMERCIAL AUTONOMY OF FRANCHISEES</w:t>
      </w:r>
    </w:p>
    <w:p>
      <w:r>
        <w:t>1. REMINDER OF PRINCIPLES</w:t>
      </w:r>
    </w:p>
    <w:p>
      <w:r>
        <w:t>134. The Authority in its decision-making practice and the Council of State ruling in litigation have indicated that the market power of a distributor is assessed by taking into account both the stores owned and those operated in a network, regardless of the legal status of the latter, as long as their commercial policy is not sufficiently autonomous from the franchisor.</w:t>
      </w:r>
    </w:p>
    <w:p>
      <w:r>
        <w:t>135. Indeed, the commercial autonomy of members of a distribution network is assessed based on several criteria identified by the Competition Authority and the Council of State, including: (i) the ability of the franchisor to set maximum prices impacting their members' freedom to set their prices independently, (ii) the obligations of members to source from the group for a significant portion of their purchases, (iii) the obligation to comply with preemption, substitution, and preference clauses in favor of the group in the event of the sale of their store outside the family perimeter, (iv) the obligation to participate in a certain number of promotional operations per year, during which members must sell products at the prices indicated in the advertising documents, (v) the obligation to reference more than 50% of the product lines of the franchisor, or (vi) the more or less long duration of the contracts.</w:t>
      </w:r>
    </w:p>
    <w:p>
      <w:r>
        <w:t>2. POSITION OF THE NOTIFYING PARTY</w:t>
      </w:r>
    </w:p>
    <w:p>
      <w:r>
        <w:t>136. The notifying party has several points of sale owned by franchisees, both nationally and in the DROM. It considers that the franchise agreements concluded between But International and its franchisees exclude But's control over the concerned points of sale, both for those located in mainland France and those located in the DROM, due to their commercial autonomy. It also considers that the franchisees of the target have commercial autonomy in relation to the franchisor. Conforama has three points of sale under franchise agreements in mainland France and five in the DROM.</w:t>
      </w:r>
    </w:p>
    <w:p>
      <w:r>
        <w:t>3. ASSESSMENT IN THE CASE AT HAND</w:t>
      </w:r>
    </w:p>
    <w:p>
      <w:r>
        <w:t>a) But Contracts</w:t>
      </w:r>
    </w:p>
    <w:p>
      <w:r>
        <w:t>The metropolitan franchisees</w:t>
      </w:r>
    </w:p>
    <w:p>
      <w:r>
        <w:t>137. Regarding the franchised But stores in mainland France under the "But" brand, the notifying party considers that these are "particularly flexible" contracts allowing the franchisee to maintain "significant freedom in determining their commercial and pricing policies."</w:t>
      </w:r>
    </w:p>
    <w:p>
      <w:r>
        <w:t>138. However, the analysis of a typical franchise contract provided by the notifying party highlights elements that limit the commercial autonomy of the franchisees in terms of competition law. First, the franchisee commits to allocate at least [10-15]% of its turnover to advertising expenses, with [60-70]% of this amount being paid to the franchisor for financing national advertising campaigns in which the franchisee may be required to participate, which constitutes a maximum price. Furthermore, the contract specifies that the franchisor provides "recommended prices and rates." Additionally, the member commits to source at least [80-90]% of the value of its purchases from the notifying party. The member also commits to source "mandatory basic ranges."</w:t>
      </w:r>
    </w:p>
    <w:p>
      <w:r>
        <w:rPr>
          <w:b/>
        </w:rPr>
        <w:t>[Pages 34–36]</w:t>
      </w:r>
    </w:p>
    <w:p>
      <w:r>
        <w:t>139. Regarding the But franchisees in metropolitan France under the "But Cosy" brand63, the franchisee commits to pay the franchisor |0-5% of its annual turnover as well as a variable portion of its turnover generated online for the financing of national advertisements and to allocate at least |0-5% of its turnover to local advertisements. The franchisee must also submit its local advertising projects to the notifying party. In the context of these advertising campaigns, the franchisee commits to source all products listed in the advertising brochures and to respect the prices displayed in the brochures. Furthermore, the franchisee commits to source at least [80-90]% of its purchase amounts from the notifying party. In addition, the franchisee must implement the commercial and store layout policy defined by the notifying party. The franchisee also commits to source "mandatory so-called basic ranges." […].</w:t>
      </w:r>
    </w:p>
    <w:p>
      <w:r>
        <w:t>140. Consequently, the analysis of the franchise agreements indicates that the franchisees whose points of sale are located in metropolitan territory are not commercially autonomous from But.</w:t>
      </w:r>
    </w:p>
    <w:p>
      <w:r>
        <w:t>The franchisees in the DROM</w:t>
      </w:r>
    </w:p>
    <w:p>
      <w:r>
        <w:t>141. Regarding the franchised stores in the DROM under the "But" brand, the notifying party has 10 points of sale in the DROM, managed by the Cafom group as a franchisee.</w:t>
      </w:r>
    </w:p>
    <w:p>
      <w:r>
        <w:t>142. According to the franchise agreements provided, the franchisee commits to allocate a certain percentage of its turnover to advertising expenses, but without the obligation to participate in national campaigns organized by the notifying party64. Similarly, the franchisee is not subject to an obligation to source from But's purchasing center. […]65. Furthermore, the Cafom group has its own purchasing and referencing centers. The 2020 annual financial report of the group states that: "Cafom Distribution, a company based in metropolitan France, is thus the subsidiary responsible for sourcing furniture, decoration, and part of the household appliances from Europe. Products purchased in the Euro zone are referenced and sold directly to the overseas subsidiaries by the suppliers, while products purchased outside this zone are acquired by Cafom Distribution and then resold to the stores."66 The franchise agreement specifies that the But franchisee may not "follow the range of so-called basic (mandatory) services and products for non-competitive French products on the D.O.M sites, nor the advertising communication on these products"67. […].</w:t>
      </w:r>
    </w:p>
    <w:p>
      <w:r>
        <w:t>143. Given the absence of an obligation to source, to reference the ranges defined by the franchisor, and to participate in national advertisements, as well as the limited duration of all franchise agreements, the franchisees of the notifying party active in the DROM are commercially autonomous from But.</w:t>
      </w:r>
    </w:p>
    <w:p>
      <w:r>
        <w:t>63 Cotes 9184 to 9219.</w:t>
        <w:br/>
        <w:t>64 Cotes 9264 to 9267.</w:t>
        <w:br/>
        <w:t>65 Cote 9265.</w:t>
        <w:br/>
        <w:t>66 Cote 25126.</w:t>
        <w:br/>
        <w:t>67 Cote 9265.</w:t>
      </w:r>
    </w:p>
    <w:p>
      <w:r>
        <w:t>b) Conforama Contracts</w:t>
      </w:r>
    </w:p>
    <w:p>
      <w:r>
        <w:t>The metropolitan franchisees</w:t>
      </w:r>
    </w:p>
    <w:p>
      <w:r>
        <w:t>144. Regarding the franchised stores under the "Conforama" brand located in metropolitan France, the analysis of the franchise agreements highlights elements that limit the commercial autonomy of the franchisees in the sense of competition law. Indeed, the franchisee expressly commits to participate in national advertising campaigns and promotional actions organized by the franchisor68. The franchisee commits to obtain the prior agreement of the franchisor before conducting its own local advertising campaigns. Furthermore, it can only develop its own advertisements within a geographical area defined by the franchisor. It must also allocate a minimum of between [0-5]% and [0-5]% of its net turnover to the budget for local and national advertising campaigns. […]69. This analysis shows that Conforama determines a minimum basic assortment of products that must necessarily be present in all stores of the franchisee network. The franchisee may only purchase non-referenced products up to a maximum of [10-20]% of the total annual purchase amount of the franchised store. […]70.</w:t>
      </w:r>
    </w:p>
    <w:p>
      <w:r>
        <w:t>145. Consequently, the analysis of the franchise agreements for points of sale located in national territory indicates that Conforama franchisees are not commercially autonomous from their franchisor.</w:t>
      </w:r>
    </w:p>
    <w:p>
      <w:r>
        <w:t>The franchisees in the DROM</w:t>
      </w:r>
    </w:p>
    <w:p>
      <w:r>
        <w:t>146. Regarding the franchised stores located in the DROM under the "Conforama" brand, there is no need to analyze the commercial autonomy of the franchise agreements, as, regardless of the hypothesis considered, the conclusions of the competitive analysis remain unchanged. Indeed, since the franchisees located in the DROM have been considered by the Authority as sufficiently commercially autonomous from But, the activities of the parties do not overlap in the downstream markets for the distribution of furniture, bazaar, decoration products, and household appliances in the DROM.</w:t>
      </w:r>
    </w:p>
    <w:p>
      <w:r>
        <w:t>c) Conclusion on the commercial autonomy of the franchisees</w:t>
      </w:r>
    </w:p>
    <w:p>
      <w:r>
        <w:t>147. Regarding the franchised stores of the parties located in metropolitan territory, it follows from the above elements that the stores owned by the franchisees are not commercially autonomous from their franchisor. These points of sale will therefore be taken into account to assess the market power of the new entity.</w:t>
      </w:r>
    </w:p>
    <w:p>
      <w:r>
        <w:t>148. Regarding the franchisees of the parties located in the DROM, the commercial autonomy of the franchisees under the "But" brand is sufficient to consider that there is no overlap of activities between the parties in the DROM.</w:t>
      </w:r>
    </w:p>
    <w:p>
      <w:r>
        <w:t>68 See for example Article 10.1 of the Conforama Challans franchise agreement (cote 11940).</w:t>
        <w:br/>
        <w:t>69 Article 14 of the aforementioned Conforama Challans franchise agreement (cote 11942).</w:t>
        <w:br/>
        <w:t>70 Article 22 of the aforementioned Conforama Challans franchise agreement (cote 11946).</w:t>
      </w:r>
    </w:p>
    <w:p>
      <w:r>
        <w:t>B. ANALYSIS OF THE RISK RELATED TO THE DISAPPEARANCE OF A FRANCHISOR GROUP</w:t>
      </w:r>
    </w:p>
    <w:p>
      <w:r>
        <w:t>1. PRESENTATION OF THE RISK</w:t>
      </w:r>
    </w:p>
    <w:p>
      <w:r>
        <w:t>149. A franchisee may decide to leave the network to join a competing network upon the expiration of their franchise agreement and in the absence of non-compete clauses.</w:t>
      </w:r>
    </w:p>
    <w:p>
      <w:r>
        <w:t>150. However, the Conforama and But groups are the only two furniture groups offering franchise agreements in the DROM. Thus, before the operation, the franchisees of the parties located in the DROM had the possibility to change brands and turn to another independent franchisee, active in the distribution of furniture products (either But or Conforama). The operation therefore results in the disappearance of an alternative for franchisees in the DROM with the risk of a deterioration of competitive conditions (in the form, for example, of an increase in the franchise fee). This disappearance appears all the more problematic as the operation of a brand such as that of the parties seems important for franchisees in the DROM. One of the franchisees of the parties indicated that "it is indeed important for us to operate under brands of regional and/or national dimension"71.</w:t>
      </w:r>
    </w:p>
    <w:p>
      <w:r>
        <w:t>2. POSITION OF THE NOTIFYING PARTY</w:t>
      </w:r>
    </w:p>
    <w:p>
      <w:r>
        <w:t>151. In its observations on the report, the notifying party argues that there are many alternatives for franchise candidates in the DROM. It notably indicates that there would be a large number of furniture brands present offering franchise opportunities in the DROM72. In this regard, the notifying party considers that certain brands which, at first glance, would offer products different from those of the notifying party, would also be credible alternatives for candidates for furniture franchises73. It also specifies that large retail players would constitute an alternative74.</w:t>
      </w:r>
    </w:p>
    <w:p>
      <w:r>
        <w:t>152. The notifying party also argues that it would have no incentive to increase franchise royalty rates in the DROM. To support its argument, it indicates that it does not plan to change the royalty and specifies that the contracts concluded in these departments would mostly be old contracts, so that if the parties decided to renegotiate after the expiration of the contracts, they could only change the terms after a long notice period, given the duration of their previous commercial relationships.</w:t>
      </w:r>
    </w:p>
    <w:p>
      <w:r>
        <w:t>153. Finally, the notifying party indicated that in the short term, the target stores will retain the "Conforama" brand.</w:t>
      </w:r>
    </w:p>
    <w:p>
      <w:r>
        <w:t>71 Cote VNC 14052.</w:t>
        <w:br/>
        <w:t>72 Cuir Center, Gautier, Château d’Ax, Mégabriel, Rêves d’Ailleurs, or even national brands not present in the DROM such as Ikea.</w:t>
        <w:br/>
        <w:t>73 Indeed, the notifying party considers that developments in the downstream retail distribution market in terms of market definition do not necessarily apply to franchisees who would have more significant alternatives.</w:t>
        <w:br/>
        <w:t>74 Cotes 25117 to 25118.</w:t>
      </w:r>
    </w:p>
    <w:p>
      <w:r>
        <w:rPr>
          <w:b/>
        </w:rPr>
        <w:t>[Pages 37–39]</w:t>
      </w:r>
    </w:p>
    <w:p>
      <w:r>
        <w:t>3. ASSESSMENT IN THE CASE AT HAND</w:t>
        <w:br/>
        <w:t>154. Firstly, the Authority considers that the brands cited by the notifying party are not credible alternatives to But and Conforama for franchisees located in the DROM. Indeed, the cited brands are either not competitors of the parties (specialized brands such as Mobalpa or Cuisinella or high-end brands such as Gautier or Château d’Ax, brands from large distribution or brands not yet present in the DROM and whose entry into the DROM is unlikely, in particular), or are only very sporadically present in certain DROM (generally, these brands have a point of sale in only one DROM). Specialized brands do not offer all the families of furniture sold by the parties and generally have sales areas much smaller than those of the parties' stores. High-end brands generally do not target the same clientele as the parties. As for the brands from large distribution, as previously indicated, these brands offer a very limited and sporadic range of furniture and, in any case, have a very different activity from that of the parties. Regarding brands not yet present in the DROM such as Ikea, there is no indication that they would wish to develop there. Thus, But and Conforama franchisees located in the DROM will lose their closest alternative. Moreover, a shift to one of the brands highlighted by the notifying party appears very unlikely, as it would involve redirecting the activity of the point of sale, which would be costly and would require the franchisee to develop new expertise.</w:t>
      </w:r>
    </w:p>
    <w:p>
      <w:r>
        <w:t>155. Secondly, even if some contractual relationships are old, nothing excludes a renegotiation of the royalty upon the expiration of the contracts, the new entity having the capacity to implement such renegotiation as the sole franchisor group of furniture products in the DROM. Furthermore, the longevity of the contractual relationship of the franchisees is confirmed only for certain franchise contracts under brand.</w:t>
      </w:r>
    </w:p>
    <w:p>
      <w:r>
        <w:t>156. Finally, even if the notifying party has also specified that in the short term, the target stores will retain the "Conforama" brand after the operation, it cannot be ruled out that a change of brand may occur.</w:t>
      </w:r>
    </w:p>
    <w:p>
      <w:r>
        <w:t>157. Therefore, the Authority considers that due to the absence of a credible alternative within the DROM, the market power of the new entity will be strengthened following the operation. There is thus a risk of deterioration of the contractual conditions for But and Conforama franchisees located in the DROM.</w:t>
      </w:r>
    </w:p>
    <w:p>
      <w:r>
        <w:t>C. MARKETS FOR FURNITURE PRODUCTS</w:t>
        <w:br/>
        <w:t>1. UPSTREAM MARKETS</w:t>
        <w:br/>
        <w:t>a) Presentation of market shares</w:t>
        <w:br/>
        <w:t>158. In the context of the analysis of the effects of the Tejo/Roller operation on the relevant supply markets, the Commission has integrated the revenue generated by Conforama France into the revenue generated by XXXLutz Group. The market on which the market share of the new entity would be the highest is that of the supply of low-priced and ready-to-assemble furniture sold by discount furniture retailers within the European Economic Area. In this potential market, the purchasing share of the new entity is [20-30]% (excluding Ikea).</w:t>
      </w:r>
    </w:p>
    <w:p>
      <w:r>
        <w:t>159. Regarding the national upstream market for the supply of bedding products, the notifying party estimates that the combined market share of the parties at the national level is approximately [30-40]%.</w:t>
      </w:r>
    </w:p>
    <w:p>
      <w:r>
        <w:t>b) Presentation of the risk of economic dependence of suppliers</w:t>
        <w:br/>
        <w:t>Reminder of the decision-making practice regarding economic dependence</w:t>
        <w:br/>
        <w:t>160. According to the decision-making practice of competition authorities, the risk of economic dependence is assessed in particular with regard to the share that a market outlet represents in the total sales of the supplier. Competition authorities consider that there is a "threshold of threat" beyond which the survival of the manufacturer may be called into question, the disappearance of this outlet placing the supplier in a financially difficult situation, which can sometimes lead to bankruptcy. The level of this threshold is not fixed and depends on a large number of specific parameters according to the sectors concerned, such as the structure and financial situation of the companies or the existence and cost of potential alternative solutions.</w:t>
      </w:r>
    </w:p>
    <w:p>
      <w:r>
        <w:t>161. In the examination of numerous concentration operations in the food-dominated retail sector, this threshold has been set at 22% in reference to the threshold identified by the European Commission in the 1999 Rewe/Meinl decision.</w:t>
      </w:r>
    </w:p>
    <w:p>
      <w:r>
        <w:t>162. As noted by the Competition Council in its 1997 opinion, in the event that a concentration operation results in placing a single supplier or a small number of them in a situation of economic dependence with respect to the new company resulting from the concentration, this circumstance alone would be insufficient to justify a prohibition or a challenge to the operation. The apprehension of individual cases of abuse of economic dependence may indeed fall under the jurisdiction of the Competition Authority ruling in litigation. Furthermore, certain abusive practices may fall under the jurisdiction of commercial courts, under the rules relating to restrictive commercial practices, and in particular Article L. 442-1 of the Commercial Code, which allows for the sanctioning of practices creating a significant imbalance in contractual relations for a contracting party.</w:t>
      </w:r>
    </w:p>
    <w:p>
      <w:r>
        <w:t>163. Moreover, as specified in the guidelines of the Authority regarding the control of concentrations, "economic dependence in itself constitutes a restriction of competition only if it has an effect on competition in a market and, ultimately, on consumer surplus, and not simply on one or more suppliers. The objective of a competition authority is indeed not to protect a company as such, whether it is a competitor, customer, or supplier." It follows that a concentration operation is likely to harm competition only if the creation or strengthening of a state of economic dependence of the suppliers of the parties to the operation risks affecting the structure or functioning of competition in the relevant upstream and downstream markets.</w:t>
      </w:r>
    </w:p>
    <w:p>
      <w:r>
        <w:t>164. In the decision of May 26, 2020, Vindémia/GBH, the Authority recognized the existence of a risk of economic dependence of the suppliers of the new entity because, in addition to the significant number of suppliers placed in a situation of economic dependence (about a hundred, including about twenty for which the operation resulted in crossing the threshold of threat), "the geographical situation of the territory of Réunion and the local dimension of this market, [...] also limit the search for new outlets for local suppliers."</w:t>
      </w:r>
    </w:p>
    <w:p>
      <w:r>
        <w:t>Analysis of the risk of economic dependence</w:t>
        <w:br/>
        <w:t>165. In order to determine whether the operation has the effect of placing operators in a situation of economic dependence with respect to the new entity, the Authority questioned all common suppliers of the parties, active in the upstream markets concerned by the operation.</w:t>
      </w:r>
    </w:p>
    <w:p>
      <w:r>
        <w:rPr>
          <w:b/>
        </w:rPr>
        <w:t>[Pages 40–42]</w:t>
      </w:r>
    </w:p>
    <w:p>
      <w:r>
        <w:t>Preliminary remarks on the threshold of economic dependence retained</w:t>
        <w:br/>
        <w:t>166. It should be noted that the threat threshold of 22% identified by the European Commission in the 1999 Rewe/Meinl decision83, and reiterated in the Vindémia/GBH decision84, concerned the food distribution sector.</w:t>
        <w:br/>
        <w:t>167. In the absence of elements allowing for a precise definition of this threshold in the sectors concerned by the operation, the Authority referred to the rate of 22% which it slightly lowered to 20%.</w:t>
      </w:r>
    </w:p>
    <w:p>
      <w:r>
        <w:t>Suppliers of furniture products (excluding bedding)</w:t>
        <w:br/>
        <w:t>On the number of suppliers in economic dependence</w:t>
        <w:br/>
        <w:t>168. Based on the responses to the market tests, the Authority identified eight suppliers, out of more than forty common furniture suppliers surveyed (excluding bedding), who will generate more than 20% of their individual turnover with the new entity. The number of common suppliers who could be in a situation of economic dependence following the operation will thus remain moderate in relation to the number of suppliers of the parties, as they represent less than 20% of all common suppliers85.</w:t>
        <w:br/>
        <w:t>169. Among these eight suppliers, five were already in a state of economic dependence on at least one of the parties to the operation. Furthermore, for half of them, the share of turnover generated with the new entity will remain moderate (less than 30%). For the eight concerned suppliers, the percentage of turnover generated with the new entity is between [20-30]% and [50-60]%, with increments ranging from 10 to 20 points.</w:t>
      </w:r>
    </w:p>
    <w:p>
      <w:r>
        <w:t>On the structure or functioning of competition in the upstream market for furniture products</w:t>
        <w:br/>
        <w:t>170. In the Tejo/Roller decision of November 30, 202086, which concerns the upstream market for the supply of furniture products, the Commission excluded the risks of economic dependence in its analysis, considering that there are alternatives to the new entity.</w:t>
        <w:br/>
        <w:t>171. In this case, the Authority also considers that there are alternatives to the new entity in the various upstream markets for the supply of furniture products (excluding bedding), due to the European dimension of these markets, which has been confirmed by the respondents to the market tests surveyed in the context of the present operation.</w:t>
        <w:br/>
        <w:t>172. The majority of the main suppliers of the parties surveyed are indeed active throughout the European territory. This majority has clients in several Member States and its production sites may be located outside France, generally within the European Union (notably in Eastern European countries). Moreover, the majority of suppliers consider that brand is not an important criterion for furniture products, except for bedding products.</w:t>
        <w:br/>
        <w:t>173. Furthermore, even if there may be disparities in styles and standards and if the success of products may vary from one national market to another, it appears that suppliers are able to adapt to these differences. Thus, according to PGS Sofa, a manufacturer of upholstered furniture, "a successful player on a continental scale must be able to adapt its creation and standards" according to national tastes and standards87. Finori, a manufacturer of flat-pack furniture, specifies that "the main players have structured themselves to provide solutions adapted to different markets while mastering logistics"88.</w:t>
        <w:br/>
        <w:t>174. Suppliers of furniture products will thus have alternative outlets to the new entity.</w:t>
        <w:br/>
        <w:t>175. Therefore, given the limited number of suppliers who would potentially be placed in a situation of economic dependence following the operation, the operation will not harm the structure of competition in the upstream markets for the supply of furniture products. Furthermore, suppliers will continue to benefit from outlets on a European scale. Thus, any risk of harm to competition in the upstream market for furniture products, excluding bedding products, can be ruled out.</w:t>
      </w:r>
    </w:p>
    <w:p>
      <w:r>
        <w:t>Suppliers of bedding products</w:t>
        <w:br/>
        <w:t>On the number of suppliers in economic dependence</w:t>
        <w:br/>
        <w:t>176. Based on the responses to the market tests, the Authority identified seven suppliers of bedding products, out of about ten common suppliers surveyed active in this sector, that will generate more than 20% of their individual turnover with the new entity89, this percentage being between [20-30]% and [70-80]%. All of these suppliers were already in a state of economic dependence on Mobilux, with increments ranging from [0-5] to [10-20] points.</w:t>
        <w:br/>
        <w:t>177. Among the seven concerned suppliers, the identified rate of economic dependence is greater than 40% for five of them. It should be noted that the notifying party considers that the turnover figures taken into account to calculate the rates of economic dependence should not include the turnover generated with Poco and XXXLutz in the event that the upstream market for bedding products is of national dimension. However, the calculation of the rate of economic dependence is independent of the exact delineations of the relevant markets. Indeed, the interest of this calculation is to know the percentage of turnover generated by a supplier with the new entity in a global manner. The consideration of the relevant market comes into play only at a later stage to measure the existence of alternatives to the new entity for suppliers crossing the alert threshold.</w:t>
      </w:r>
    </w:p>
    <w:p>
      <w:r>
        <w:t>On the structure or functioning of competition in the upstream market for bedding products</w:t>
        <w:br/>
        <w:t>178. As indicated in paragraphs 91 and following, the bedding sector presents certain specificities within furniture products. Indeed, factors such as transportation costs, the existence of brands that have recognition only in France and not in other countries, or the different expectations of consumers according to their nationality (notably in terms of bedding size) give this market a national dimension and make it difficult and costly for manufacturers of bedding products to export their products outside of France. A bedding manufacturer citing a Xerfi France study titled The Manufacturing of Mattresses and Box Springs specified that "more than 90% of the turnover of the French industry is generated in France"90. This same manufacturer highlighted the various obstacles to marketing these products abroad: "The obstacles are [...] related to the investments necessary to establish in new European states, which are of two kinds:</w:t>
        <w:br/>
        <w:t>- investments related to logistics, as bedding products are very bulky;</w:t>
        <w:br/>
        <w:t>- investments necessary for brand promotion: marketing expenses related to establishing in a new territory are therefore high"91.</w:t>
        <w:br/>
        <w:t>179. In the same vein, Cofel indicated that "Despite our size (we are the leader in bedding in France) and our desire to export to Europe and elsewhere, it is very difficult for us to do so. The reasons: our high production costs and our brands which are national brands (Epeda, Bultex, Merinos). On the client side, it is the same: apart from Lutz, our clients are all either French or they operate nationally and in some cases locally."92 However, at the national level, the outlets for bedding manufacturers, apart from the new entity, which will be the main distributor of bedding products in France, are particularly limited. Indeed, the Ikea group, the main competitor of the parties in bedding distribution, has its own supply network and thus cannot constitute an alternative outlet for bedding manufacturers. One of the players even indicated that "[he] cannot develop significantly with other clients because they are either too small or they have a non-compatible business model. Ikea, for example, is number 3 in bedding distribution far behind But and Conforama and imports 100% from Poland or Portugal and sells its own brand"93. Another bedding product manufacturer specified that, even assuming Ikea redirects its strategy towards purchases in France, it would not constitute a significant outlet in terms of value, given its strategy of only distributing private labels: "In any case, Ikea would not distribute the brands of manufacturers: even if Ikea became an alternative outlet, this outlet could be significant in volume, but not in value."94</w:t>
        <w:br/>
        <w:t>180. Bedding specialists have also expressed concerns about the effects of the operation on their business in their responses to the market test. Indeed, according to these actors, the operation</w:t>
      </w:r>
    </w:p>
    <w:p>
      <w:r>
        <w:rPr>
          <w:b/>
        </w:rPr>
        <w:t>[Pages 43–45]</w:t>
      </w:r>
    </w:p>
    <w:p>
      <w:r>
        <w:t xml:space="preserve">r. »94  </w:t>
        <w:br/>
        <w:t xml:space="preserve">180. Bedding specialists have expressed concerns about the effects of the operation on their business in their responses to the market test. Indeed, according to these actors, the operation is more likely to affect the bedding sector than other furniture products, particularly due to the "leading" position held by both But and Conforama in bedding products and the specialization of their activity95.  </w:t>
        <w:br/>
        <w:t xml:space="preserve">181. Suppliers of bedding products generating more than 20% of their turnover with the new entity will thus have only very limited alternatives to the new entity, none of which present purchasing volumes comparable to those of But or Conforama prior to the operation. Such a situation would have substantial effects on the competitive structure of the upstream market for the supply of bedding products, as it concerns a large number of suppliers.  </w:t>
        <w:br/>
        <w:t xml:space="preserve">182. Consequently, there is a risk of harm to competition through the creation or strengthening of the purchasing power of the acquirer in the upstream market for the supply of bedding products due to the high market shares of the new entity, which will become the main buyer of bedding products in France, the absence of credible alternatives for suppliers, and the national characteristics specific to this market.  </w:t>
        <w:br/>
        <w:t xml:space="preserve">2. DOWNSTREAM MARKETS  </w:t>
        <w:br/>
        <w:t xml:space="preserve">183. In order to assess whether an operation is likely to harm competition in a market, the guidelines of the Authority specify that (i) the market shares of the new entity and its competitors and (ii) the degree of market concentration constitute a first indicator of the market power of the new entity. These two criteria are assessed on a case-by-case basis by the Authority depending on the characteristics of the actors present and the products offered in the analyzed markets, as well as the functioning modalities of these markets.  </w:t>
        <w:br/>
        <w:t xml:space="preserve">a) Market shares  </w:t>
        <w:br/>
        <w:t xml:space="preserve">Methodology for calculating market shares  </w:t>
        <w:br/>
        <w:t xml:space="preserve">Opening of new stores  </w:t>
        <w:br/>
        <w:t xml:space="preserve">184. The analysis conducted being prospective in terms of merger control, the points of sale currently being opened and those that the parties plan to open in the short and medium term have been taken into account in the analysis.  </w:t>
        <w:br/>
        <w:t xml:space="preserve">Inclusion of online sales  </w:t>
        <w:br/>
        <w:t xml:space="preserve">Reminder of decision-making practice  </w:t>
        <w:br/>
        <w:t xml:space="preserve">185. As indicated in points Error! Reference source not found. and following of this decision, online sales of furniture products exert real competitive pressure on in-store sales and thus belong to the same market. Paragraph 841 of the Authority's guidelines on merger control specifies the calculation method when a single market is retained: "When the Authority considers that in-store sales and online sales belong to the same market, the market shares of operators with stores and making online sales are calculated by taking into account both in-store sales and internet sales.95  </w:t>
        <w:br/>
        <w:t xml:space="preserve">In the context of the three aforementioned, the Authority has allocated to each operator making online sales an online sales turnover proportional to its market shares in online sales at the national level, including for actors specialized in online sales. This methodology is based on the assumption that the competitive pressure exerted by online sales is homogeneous across all relevant catchment areas."  </w:t>
        <w:br/>
        <w:t xml:space="preserve">Position of the notifying party  </w:t>
        <w:br/>
        <w:t xml:space="preserve">186. The notifying party considers that online sales of furniture can be estimated at [20-30]% of the total furniture sales in France (excluding bathroom furniture and garden furniture, categories that are little distributed by the parties). This result is obtained based on the assumptions detailed below.  </w:t>
        <w:br/>
        <w:t xml:space="preserve">187. Firstly, according to the notifying party, differentiated online sales shares should be retained, depending on the category of furniture, to take into account the fact that some of them, such as kitchens, bathrooms, and wardrobes, are less frequently purchased online by consumers. To this end, the notifying party proposes to retain the distribution of online sales of But and Conforama among the different categories of furniture as the basis for the distribution of total online sales at the national level.  </w:t>
        <w:br/>
        <w:t xml:space="preserve">188. Secondly, the notifying party holds that the different distribution channels, such as specialists, mid-range and high-end furniture, and other circuits, have a similar online sales share to that of large furniture retailers. This online sales share is estimated at [20-30]% by the notifying party based on data from the brands IKEA, But, Conforama, Maisons du Monde, and Alinea for the fiscal year 2021.  </w:t>
        <w:br/>
        <w:t xml:space="preserve">189. Thirdly, the notifying party considers that the online sales of GSB are significantly lower and estimated at [0-5]%, notably due to their positioning on furniture categories such as kitchens, bathrooms, and wardrobes, segments where online sales would be less widespread.  </w:t>
        <w:br/>
        <w:t xml:space="preserve">190. Fourthly, online-only players (or "pure players") would represent [5-10]% of the furniture sales market in France, according to the IPEA estimate for the year 202096.  </w:t>
        <w:br/>
        <w:t xml:space="preserve">191. Based on these considerations, the notifying party estimated that online sales could amount to [30-40]% of total furniture sales and proposed the following distribution, based on the distribution of online sales of the brands But and Conforama:  </w:t>
        <w:br/>
        <w:t xml:space="preserve">Share of sales in  </w:t>
        <w:br/>
        <w:t xml:space="preserve">Furniture category  </w:t>
        <w:br/>
        <w:t xml:space="preserve">Online  </w:t>
        <w:br/>
        <w:t xml:space="preserve">Furniture [30-40]%  </w:t>
        <w:br/>
        <w:t xml:space="preserve">Upholstered furniture [40-50]%  </w:t>
        <w:br/>
        <w:t xml:space="preserve">Bedding [30-40]%  </w:t>
        <w:br/>
        <w:t xml:space="preserve">Kitchen [0-5]%  </w:t>
        <w:br/>
        <w:t xml:space="preserve">Overall, all furniture  </w:t>
        <w:br/>
        <w:t xml:space="preserve">[30-40]%  </w:t>
        <w:br/>
        <w:t xml:space="preserve">combined  </w:t>
        <w:br/>
        <w:t>96 IPEA Annual Report 2020. Accessible: https://ipea.fr/medias/public/IPEA-Bilan%20march%C3%A9%202020.pdf.</w:t>
      </w:r>
    </w:p>
    <w:p>
      <w:r>
        <w:rPr>
          <w:b/>
        </w:rPr>
        <w:t>[Pages 46–48]</w:t>
      </w:r>
    </w:p>
    <w:p>
      <w:r>
        <w:t>Appreciation in the case at hand</w:t>
        <w:br/>
        <w:t>On the distribution of online sales among the different categories of furniture</w:t>
        <w:br/>
        <w:t>193. Regarding the distribution of overall online sales among the different categories of furniture, the notifying party proposed to adopt a distribution based on that of the But and Conforama brands. However, the distribution of online sales for these two brands is strongly linked to their commercial strategy. Indeed, the fact that a category of products is poorly sold online by these brands may reflect that this category represents a small share of their turnover rather than any difficulty in selling this category of products online. The following table presents the distribution of sales for But and Conforama by category of furniture and shows that some of these categories (e.g., kitchen furniture or bathroom furniture) are underrepresented in the overall turnover of the brands, which could skew the distribution of online sales if it were based solely on data from the parties.</w:t>
      </w:r>
    </w:p>
    <w:p>
      <w:r>
        <w:t>Share of online sales in turnover</w:t>
        <w:br/>
        <w:t>by product category Conforama But</w:t>
        <w:br/>
        <w:t>Household appliances [30-40] % [30-40] %</w:t>
        <w:br/>
        <w:t>White goods [20-30] % [20-30] %</w:t>
        <w:br/>
        <w:t>Brown goods [5-10] % [5-10] %</w:t>
        <w:br/>
        <w:t>Grey goods [5-10] % [0-5] %</w:t>
        <w:br/>
        <w:t>Furniture products [50-60] % [60-70] %</w:t>
        <w:br/>
        <w:t>Kitchen [5-10] % [5-10] %</w:t>
        <w:br/>
        <w:t>Bathroom [0-5] % [0-5] %</w:t>
        <w:br/>
        <w:t>Bedding [10-20] % [10-20] %</w:t>
        <w:br/>
        <w:t>Armchairs and sofas [10-20] % [10-20] %</w:t>
        <w:br/>
        <w:t>Furniture/other furniture [20-30] % [20-30] %</w:t>
        <w:br/>
        <w:t>Decoration-bazaar products [5-10] % [5-10] %</w:t>
        <w:br/>
        <w:t>Total 100 % 100 %</w:t>
      </w:r>
    </w:p>
    <w:p>
      <w:r>
        <w:t>194. The notifying party has not provided any other data or method that could allow for the distribution of online sales among the different categories of furniture. In the absence of such elements, the estimates of online sales shares made below retain a single online sales share, applied to all categories of furniture. Retaining such a unique share allows for consideration of the competitive pressure exerted by online sales, even in the absence of detailed data on the distribution of these sales among the different categories of furniture.</w:t>
      </w:r>
    </w:p>
    <w:p>
      <w:r>
        <w:t>On the level of online sales retained for online-only players</w:t>
        <w:br/>
        <w:t>195. Firstly, regarding the market share retained for online-only players, the IPEA estimates it at 8.1% for the year 2020. This figure is slightly below the estimates made in the 2019 McKinsey report, which projected online-only players' sales reaching [5-10]% of the market by 2023. Nevertheless, neither of these two estimates fully accounts for the effect of the Covid-19 crisis, even though it can be expected that this effect was less significant on the sales of online-only players than on the online sales of brands with physical retail outlets that benefited from a very significant recourse to distance sales and in-store pickup (or "click &amp; collect") during the health crisis.</w:t>
      </w:r>
    </w:p>
    <w:p>
      <w:r>
        <w:t>196. For these reasons, the Authority holds that online-only players could represent a share of up to 10% of sales of each category of furniture in the next two to three years.</w:t>
      </w:r>
    </w:p>
    <w:p>
      <w:r>
        <w:t>On the level of online sales retained for players with physical retail outlets</w:t>
        <w:br/>
        <w:t>197. Regarding brands with physical retail outlets, the 2019 McKinsey report provided by the notifying party estimates their share of online sales at approximately [10-15]% of total furniture sales. However, as noted above, the Covid-19 crisis is likely to have impacted this figure, primarily due to periods marked by restrictions related to the health crisis (lockdowns, curfews, closure of non-essential businesses, etc.). The data provided by the parties shows, for example, that during the period from September 1, 2020, to August 31, 2021, the IKEA brand, whose stores were closed for four and a half months, more than doubled its online sales compared to the previous year (35% versus 15.4% for the previous year, which was also partially marked by the Covid-19 crisis) while recording a 4% increase in its total turnover. For the year 2019, the year preceding the health crisis, online sales of the IKEA brand represented only about 10% of its turnover.</w:t>
      </w:r>
    </w:p>
    <w:p>
      <w:r>
        <w:t>198. Consumers are indeed likely to have permanently integrated the convenience offered by online sales from physical stores and to rely on them more in the future, even outside periods marked by restrictions related to the recent health crisis or any other event. Survey results conducted during the health crisis showed that in the event of a 10% price increase in the physical stores of the parties and IKEA, many consumers would choose to use online sales sites of brands with physical stores such as but.fr, conforama.fr, or ikea.fr.</w:t>
      </w:r>
    </w:p>
    <w:p>
      <w:r>
        <w:t>199. Nevertheless, the estimate of the share of online sales from generalist and specialist stores presented by the parties ([20-30]%) is overstated. On the one hand, this estimate takes into account, in the calculation of the average share of sales from large furniture retailers, figures reflecting online sales made during the 2021 fiscal year, a year particularly marked by the Covid-19 crisis which led to the closure of non-essential businesses for nearly a third of the year. However, generally speaking, and across all consumer products, the available observations do not currently allow for a conclusion that the Covid-19 crisis has led to a lasting shift in online sales, even if this scenario cannot be excluded. In this case, the example of the IKEA brand cited above shows that the share of online sales for the brand was multiplied by about three and a half between the year 2019, the year preceding the Covid-19 crisis, and the year 2021 considered in the parties' analysis. If, as noted above, consumers are likely to rely more on online sales following the health crisis, the reopening of physical stores and the improvement of the health situation nonetheless suggest a slight decrease in online sales. On the other hand, the parties' estimate retains an equivalent level of online sales for large furniture retailers and for specialists. However, specialists are particularly present in project furniture categories, such as kitchen or bathroom furniture, segments on which the parties agree that online sales are less widespread. The results of market tests conducted by the investigation services show that almost all specialized brands indicate having an online sales share of less than 5% or even, in many cases, none at all, even though these players were required to provide figures for the year 2020, a year particularly marked by the Covid-19 crisis. Thus, the share of online sales from specialized players is likely to be comparable to that of large retailers, at around [0-5]%.</w:t>
      </w:r>
    </w:p>
    <w:p>
      <w:r>
        <w:t>200. Given the share of online sales retained by the parties for generalist brands ([20-30]%), the correction of the share of online sales attributed to specialist brands ([0-5]%), and the share of online sales from large retailers ([0-5]%), the Authority estimates that it is appropriate to retain, for brands with a physical retail outlet, a total online sales share of [10-20]% of total market sales.</w:t>
      </w:r>
    </w:p>
    <w:p>
      <w:r>
        <w:t>Conclusion on online sales</w:t>
        <w:br/>
        <w:t>201. In conclusion, the Authority retains online sales at [20-30]% of sales of each category of furniture in France. This level is divided between those made by online-only players, estimated at [10-20]%, and those made by brands with physical retail outlets, estimated at [10-20]%.</w:t>
      </w:r>
    </w:p>
    <w:p>
      <w:r>
        <w:t>Taking into account generalist brands, specialist brands, and large retailers</w:t>
        <w:br/>
        <w:t>202. The parties are simultaneously active in the following furniture product families: furniture, upholstered furniture, bedding, and kitchens. Aside from large retailers that have a product offering covering all these furniture product families, other operators active in this market, namely generalist brands, large retailers, and specialist brands, are generally only present in certain product families. Indeed, generalist brands are generally not present in kitchens. In this regard, one operator stated: "in the furniture product market, we consider that the kitchen, bathroom, and dressing families are not always addressed (or are addressed very marginally) by generalists."</w:t>
      </w:r>
    </w:p>
    <w:p>
      <w:r>
        <w:t>203. In this context, for each of the four identified markets, only the operators offering the relevant product family have been included in the competitive analysis. Thus, large retailers have been taken into account only in the kitchen products market. Conversely, generalist brands have not been included in the analysis of this market but have been considered in the other three markets. Finally, specialist brands have only been taken into account for the product family or families they offer. For example, some bedding brands also offer upholstered furniture, and some kitchen brands offer furniture. In these cases, these specialist brands have been integrated into the different relevant product families. The following table summarizes the operators retained for each relevant product family in which the parties are active.</w:t>
      </w:r>
    </w:p>
    <w:p>
      <w:r>
        <w:rPr>
          <w:b/>
        </w:rPr>
        <w:t>[Pages 49–51]</w:t>
      </w:r>
    </w:p>
    <w:p>
      <w:r>
        <w:t>Product Families / GSS and Generalists Specialists GSB</w:t>
        <w:br/>
        <w:t>Competitors</w:t>
        <w:br/>
        <w:t>(i) upholstered furniture</w:t>
        <w:br/>
        <w:t>X</w:t>
        <w:br/>
        <w:t>(excluding dressing)</w:t>
        <w:br/>
        <w:t>X</w:t>
        <w:br/>
        <w:t>X</w:t>
        <w:br/>
        <w:t>(ii) kitchen furniture (except for X</w:t>
        <w:br/>
        <w:t>(kitchen specialists)</w:t>
        <w:br/>
        <w:t>generalists)</w:t>
        <w:br/>
        <w:t>X</w:t>
        <w:br/>
        <w:t>(iii) furniture</w:t>
        <w:br/>
        <w:t>X (specialists in sofas and</w:t>
        <w:br/>
        <w:t>upholstered chairs100)</w:t>
        <w:br/>
        <w:t>X</w:t>
        <w:br/>
        <w:t>(iv) bedding X</w:t>
        <w:br/>
        <w:t>(bedding specialists)</w:t>
        <w:br/>
        <w:t>204. The parties are simultaneously active in the various markets for entry-level and mid-range furniture101. The analysis must therefore include only the competitors active in these price ranges.</w:t>
        <w:br/>
        <w:t>205. The data provided by the notifying party102 served as the basis for the market share calculations. However, certain brands were removed, as they offer high-end and very high-end products.</w:t>
        <w:br/>
        <w:t>206. Regarding GSS and generalist brands, the notifying party made a distinction between entry-level and mid-range brands and high-end brands. The Authority shares the notifying party's view regarding the classification of these different brands, with the exception of the Habitat brand, which the notifying party considers to fall under the entry-level and mid-range category, whereas the investigation establishes that it is rather positioned in the high-end category. Indeed, the Cafom group, which owned the Habitat brand, estimated that this brand had a mid/high-end positioning103. Respondents to the second market test also considered that its positioning was more oriented towards the high-end than the mid-range. The Habitat brand has thus been excluded from the brands offering entry-level and mid-range products.</w:t>
        <w:br/>
        <w:t>207. Regarding specialist brands, the notifying party did not, however, make a distinction based on price range. It appears from the investigation that specialist brands are generally positioned in price ranges higher than those of the products offered by GSS and generalists. During the second market test, the investigation services therefore questioned the main furniture brands, not only about their positioning in terms of price range but also about the positioning of their competitors. This information allowed for the establishment of the positioning of the main operators in the relevant markets and to exclude, for the purposes of this analysis, specialists operating in the high-end and luxury segments.</w:t>
        <w:br/>
        <w:t>100 Certain bedding specialists may also offer upholstered furniture.</w:t>
        <w:br/>
        <w:t>101 Cf. paragraphs 23 and following.</w:t>
        <w:br/>
        <w:t>102 Cote 16651.</w:t>
        <w:br/>
        <w:t>103 Cote 16789; https://www.lsa-conso.fr/thierry-le-guenic-est-le-nouveau-proprietaire-d-habitat,359968.</w:t>
      </w:r>
    </w:p>
    <w:p>
      <w:r>
        <w:t>Presentation of Market Shares</w:t>
        <w:br/>
        <w:t>At the National Level</w:t>
        <w:br/>
        <w:t>208. As previously indicated, the market shares of the new entity presented below have been calculated taking into account online sales. The assumptions for online sales retained are [10-20]% for fully online players and [10-20]% for brands with physical points of sale, resulting in a total of [20-30]% for all online sales. For the calculation of the market share of the parties104, the figures provided by the notifying party were retained, specifically a penetration rate of [10-20]% for Conforama and [5-10]% for But. The online sales of the parties are then deducted from the share of online sales assigned to brands with physical points of sale, and the remainder is attributed to the competitors of the parties.</w:t>
        <w:br/>
        <w:t>209. According to the various families of entry-level and mid-range products in which the parties are active, the 2020 market shares of the new entity are as follows:</w:t>
        <w:br/>
        <w:t>Furniture Upholstered Furniture Kitchen Bedding</w:t>
        <w:br/>
        <w:t>Conforama [10-20]% [5-10]% [10-20]% [10-20]%</w:t>
        <w:br/>
        <w:t>But [10-20]% [5-10]% [10-20]% [20-30]%</w:t>
        <w:br/>
        <w:t>Parties [20-30]% [10-20]% [20-30]% [40-50]%</w:t>
        <w:br/>
        <w:t>Competitors [60-70]% [70-80]% [60-70]% [40-50]%</w:t>
        <w:br/>
        <w:t>Fully Online [10-20]% [10-20]% [10-20]% [10-20]%</w:t>
        <w:br/>
        <w:t>210. In the market for upholstered furniture, the market share of the new entity is [20-30]%, with the main player in this market, Ikea, having a market share of [10-20]%.</w:t>
        <w:br/>
        <w:t>211. In the kitchen furniture market, the market share of the new entity is [10-20]%, with the main players being Ikea (with a market share of [10-20]%), Cuisinella ([10-20]%), Ixina ([10-20]%), and SoCoo’c ([5-10]%).</w:t>
        <w:br/>
        <w:t>212. In upholstered furniture, the new entity is also a leader. Its market share is [20-30]%, with the main players being PoltroneSofa ([10-20]%), Maisons du Monde ([5-10]%), and Cuir Center ([5-10]%).</w:t>
        <w:br/>
        <w:t>213. In bedding, the market share of the new entity is [40-50]%. It follows that the new entity will become the leading distributor of entry-level and mid-range bedding products nationwide, far ahead of its competitors, since all competitors with physical points of sale represent [40-50]% of the market and fully online players represent [10-20]%. The competitors holding the largest market shares, after the new entity, are Ikea (with a market share of [10-20]%), Le Roi du Matelas ([5-10]%), and LitriMarché ([0-5]%).</w:t>
        <w:br/>
        <w:t>214. At the national level, the new entity will thus be the main operator in upholstered furniture, upholstered furniture, and bedding.</w:t>
        <w:br/>
        <w:t>104 The data from the company Drawer, a "pure player" recently acquired by But International, were taken into account in the competitive analysis.</w:t>
      </w:r>
    </w:p>
    <w:p>
      <w:r>
        <w:t>At the Local Level</w:t>
        <w:br/>
        <w:t>Method of Analyzing Trade Areas</w:t>
        <w:br/>
        <w:t>215. In accordance with the possibility mentioned in paragraph 833 of the guidelines, the competing points of sale and those of the parties located at the immediate outer edge of the area were included in the competitive analysis to avoid threshold effects. Thus, points of sale located up to 5 minutes by car from the outer edge of the areas were taken into account in the calculation of market shares.</w:t>
        <w:br/>
        <w:t>Quantitative Filter: Market Shares or Number of Competitors</w:t>
        <w:br/>
        <w:t>216. The Authority's guidelines105 specify that "[t]he existence of large market shares is an important element in assessing a company's market power. High post-operation market shares, on the order of 50% or more, may suggest the existence of significant market power." The threshold of 50% market share below which the existence of significant market power is not presumed is, however, indicative and should not lead to the exclusion of any competition issues by principle, as it must be adapted according to the competitive structure of each relevant market.</w:t>
        <w:br/>
        <w:t>217. The same guidelines state that "when the market share of the new entity is below 25%, it is presumed that the operation does not harm competition through unilateral effects."106</w:t>
        <w:br/>
        <w:t>218. In light of these elements, the Authority has, in this case, identified local situations likely to pose competitive problems as follows.</w:t>
        <w:br/>
        <w:t>219. When the market share of the new entity is below 25%, any risk of harm to competition has been ruled out, without a more detailed competitive analysis being conducted, as no particular circumstance made it necessary (filter no. 1).</w:t>
        <w:br/>
        <w:t>220. When the market share of the new entity is between 25% and 50%, the risk of harm to competition can also be ruled out when the new entity will face competition from at least two players of national or regional size. Furthermore, the Authority also took into account, when circumstances justified it, the characteristics of the stores located in and near the trade area of each store, for example, considering the presence of independent points of sale or those belonging to local groups (filter no. 2).</w:t>
        <w:br/>
        <w:t>221. Finally, when the market share of the new entity is above 50%, the existence of significant market power has been presumed. A more detailed analysis of the competitive structure has therefore been conducted, in the form of a detailed qualitative filtering below.</w:t>
        <w:br/>
        <w:t>Qualitative Filter: Taking into Account Ikea Points of Sale Outside Trade Areas</w:t>
        <w:br/>
        <w:t>Position of the Notifying Party</w:t>
        <w:br/>
        <w:t xml:space="preserve">222. The notifying party argues that the competitive pressure from Ikea stores, located outside the local areas but within an hour and fifteen minutes of the point of sale on which the analysis is focused, should be taken into account, as these stores would specifically have a significant area of influence, this influence having been confirmed by responses to the tests. </w:t>
        <w:br/>
        <w:t>105 Authority's guidelines, paragraph 622.</w:t>
        <w:br/>
        <w:t>106 Above-mentioned guidelines, paragraph 627.</w:t>
      </w:r>
    </w:p>
    <w:p>
      <w:r>
        <w:rPr>
          <w:b/>
        </w:rPr>
        <w:t>[Pages 52–54]</w:t>
      </w:r>
    </w:p>
    <w:p>
      <w:r>
        <w:t>market. It indicates in particular that the average travel time to reach an Ikea store would be approximately 68 minutes, based on the market test conducted by the Authority with the parties' competitors.</w:t>
      </w:r>
    </w:p>
    <w:p>
      <w:r>
        <w:t>Application to the case at hand</w:t>
        <w:br/>
        <w:t>223. Ikea stores indeed have a broader influence than other players active in this market. It emerges from the responses to the second market test that the vast majority of respondents (75%) believe that the travel time to an Ikea store differs from that of other stores. It is higher due to:</w:t>
        <w:br/>
        <w:t>- the perception that consumers may have of Ikea: unique concept (everything under one roof, accessible design);</w:t>
        <w:br/>
        <w:t>- low prices;</w:t>
        <w:br/>
        <w:t>- the very wide range across all product categories;</w:t>
        <w:br/>
        <w:t>- immediate availability of products;</w:t>
        <w:br/>
        <w:t>- the less dense territorial coverage (departmental/regional reach of Ikea stores).</w:t>
      </w:r>
    </w:p>
    <w:p>
      <w:r>
        <w:t>224. For example, La Redoute (Galeries Lafayette) states, "[c]onsumers are willing to travel further to visit an Ikea store (I read in a study that they were willing to drive up to 2 hours). It is the unique nature of Ikea's offering that leads consumers to consider such travel times."</w:t>
      </w:r>
    </w:p>
    <w:p>
      <w:r>
        <w:t>225. Furthermore, the hearing of Ikea representatives confirmed this observation. According to them, "the concept of IKEA is to design stores large enough to showcase the full width and depth of the range. The assortment of products offered to consumers is very wide. IKEA stores also include an exhibition and advice area, and a self-service space. Therefore, these are large stores with an integrated warehouse that allows for immediate purchase and delivery of the entire stock." In this context, Ikea has a different store location policy compared to other furniture brands. Indeed, Ikea states that [strategic elements related to store placement] "IKEA stores require locations on the outskirts of cities that are easily accessible by car from the highway or ring road. They are located near large French cities. Indeed, medium-sized cities located in secondary areas are less able to attract enough consumers relative to the size of the stores. In secondary areas like Amiens or Limoges, IKEA is therefore not present."</w:t>
      </w:r>
    </w:p>
    <w:p>
      <w:r>
        <w:t>226. If the elements collected during the investigation show that Ikea stores indeed have a broader influence area than those of other players offering furniture products, this influence cannot be extended beyond one hour. In this regard, Ikea representatives indicated during their hearing that "for the placement of one of its stores, IKEA generally looks at the number of households living within a 60-minute drive around the area in question and conducts purchasing power studies to estimate the expected revenue of the future store." Furthermore, it emerges from the survey conducted by the parties among their customers that they do not consider making a trip of more than 60 minutes from their home to reach an Ikea store. This is true for all categories of furniture.</w:t>
      </w:r>
    </w:p>
    <w:p>
      <w:r>
        <w:t>227. Consequently, a qualitative analysis was conducted taking into account the presence of Ikea stores located up to one hour's drive from the target stores.</w:t>
      </w:r>
    </w:p>
    <w:p>
      <w:r>
        <w:t>Presentation of local areas</w:t>
        <w:br/>
        <w:t>228. In this case, the analysis was carried out on 162 areas defined around Conforama stores and in which a But store is located, and on each of the product families concerned by the operation, namely: furniture, upholstered furniture, bedding, and kitchen furniture. The activities of the parties overlap across all these areas. The total market shares of the new entity presented below were calculated in accordance with the methodology indicated in paragraphs 184 and following.</w:t>
      </w:r>
    </w:p>
    <w:p>
      <w:r>
        <w:t>229. As a preliminary matter, the risks of harm to competition were ruled out across all local areas concerning kitchens.</w:t>
      </w:r>
    </w:p>
    <w:p>
      <w:r>
        <w:t>230. Indeed, regarding kitchen furniture, the market share of the new entity is systematically below 25% across all relevant local areas.</w:t>
      </w:r>
    </w:p>
    <w:p>
      <w:r>
        <w:t>231. Consequently, the detailed analysis focuses on the three main product families impacted by the operation: furniture, upholstered furniture, and bedding.</w:t>
      </w:r>
    </w:p>
    <w:p>
      <w:r>
        <w:t>Non-problematic local areas (filter no. 1)</w:t>
        <w:br/>
        <w:t>232. The analysis of local areas shows that, in 4 areas, the new entity will have a market share systematically below 25% for each of the concerned product families. These areas are: Anglet (64), Colmar (68), Mont-Saint-Martin (54), and Saint-Égrève (38).</w:t>
      </w:r>
    </w:p>
    <w:p>
      <w:r>
        <w:t>233. Therefore, any risk of harm to competition in these areas can be ruled out.</w:t>
      </w:r>
    </w:p>
    <w:p>
      <w:r>
        <w:t>Local areas where the market share of the new entity is between 25% and 50% (filter no. 2)</w:t>
        <w:br/>
        <w:t>234. Regarding furniture, in 108 areas, the market share of the new entity will be between 25% and 50%.</w:t>
      </w:r>
    </w:p>
    <w:p>
      <w:r>
        <w:t>235. In 106 of these 108 areas, at least two national competitors are present. Consequently, any risk of harm to competition in these areas can be ruled out.</w:t>
      </w:r>
    </w:p>
    <w:p>
      <w:r>
        <w:t>236. Regarding the remaining 2 areas, only the Maisons du Monde brand is present among the major national competitors in Bellignat (01) and Verdun (55). However, in the Bellignat area, there are several local competitors that provide a genuine alternative to the parties (Bellona, Karselen Meubles, Modam Meubles, and Meubles Mailland). Furthermore, in the Verdun area, alongside Maisons du Monde, there is a local competitor, the Meubles Miraucourt brand, in immediate proximity to the parties and with a sales area exceeding 1,000 m².</w:t>
      </w:r>
    </w:p>
    <w:p>
      <w:r>
        <w:t>237. Consequently, any risk of harm to competition can also be ruled out in the Bellignat and Verdun areas.</w:t>
      </w:r>
    </w:p>
    <w:p>
      <w:r>
        <w:t>238. Regarding upholstered furniture, in 74 areas, the market share of the new entity will be between 25% and 50%. In these 74 areas, at least two national competitors are present. Consequently, any risk of harm to competition can be ruled out in these 74 areas.</w:t>
      </w:r>
    </w:p>
    <w:p>
      <w:r>
        <w:t>239. Regarding bedding, in 112 areas, the market share of the new entity will be between 25% and 50%. In these 112 areas, at least two national competitors are present. Consequently, any risk of harm to competition can be ruled out in these 112 areas.</w:t>
      </w:r>
    </w:p>
    <w:p>
      <w:r>
        <w:t>240. At the end of the second filter, it appears that the risks of harm to competition can be ruled out in all areas where the market shares of the new entity will be between 25% and 50%.</w:t>
      </w:r>
    </w:p>
    <w:p>
      <w:r>
        <w:t>Local areas where the market share of the new entity is greater than 50% (filter no. 3)</w:t>
        <w:br/>
        <w:t>Total number of areas where the market shares of the new entity will be greater than 50%</w:t>
        <w:br/>
        <w:t>241. The analysis of local areas shows that, in 65 areas, the market share of the new entity will be greater than 50% for at least one of the concerned product families.</w:t>
      </w:r>
    </w:p>
    <w:p>
      <w:r>
        <w:t>242. Regarding furniture, it appears that, in 44 areas, the market share of the new entity will be greater than 50%.</w:t>
      </w:r>
    </w:p>
    <w:p>
      <w:r>
        <w:t>243. Regarding upholstered furniture, the market share of the new entity will be greater than 50% in 6 areas.</w:t>
      </w:r>
    </w:p>
    <w:p>
      <w:r>
        <w:t>244. Regarding bedding, it appears that, in 46 areas, the market share of the new entity will be greater than 50%.</w:t>
      </w:r>
    </w:p>
    <w:p>
      <w:r>
        <w:t>245. The breakdown of market shares is as follows:</w:t>
        <w:br/>
        <w:t>Number of areas Furniture Upholstered furniture Bedding</w:t>
        <w:br/>
        <w:t>Between 50% and 60% 39 6 21</w:t>
        <w:br/>
        <w:t>Between 60% and 70% 5 0 20</w:t>
        <w:br/>
        <w:t>Between 70% and 80% 0 0 5</w:t>
        <w:br/>
        <w:t>Greater than 90% 0 0 0</w:t>
        <w:br/>
        <w:t>Total 44 6 46</w:t>
      </w:r>
    </w:p>
    <w:p>
      <w:r>
        <w:t>246. Furthermore, the market shares of the new entity will be greater than 50% across the three concerned product families in 6 areas and across two concerned product families in 19 areas. Thus, in the remaining 40 areas, the new entity has a market share greater than 50% in only one furniture product family: 19 areas for furniture and 21 areas for bedding.</w:t>
      </w:r>
    </w:p>
    <w:p>
      <w:r>
        <w:rPr>
          <w:b/>
        </w:rPr>
        <w:t>[Pages 55–57]</w:t>
      </w:r>
    </w:p>
    <w:p>
      <w:r>
        <w:t>247. The following table summarizes the various overlaps between local zones:</w:t>
        <w:br/>
        <w:t>Number of zones above 50%: Total</w:t>
        <w:br/>
        <w:t>Three families 6</w:t>
        <w:br/>
        <w:t>Two families 19</w:t>
        <w:br/>
        <w:t>One single family including 40</w:t>
        <w:br/>
        <w:t>Furniture only 19</w:t>
        <w:br/>
        <w:t>Bedding only 21</w:t>
        <w:br/>
        <w:t>Total 65</w:t>
      </w:r>
    </w:p>
    <w:p>
      <w:r>
        <w:t>Zones where an Ikea store is located less than an hour from the target store</w:t>
        <w:br/>
        <w:t>248. In 9 zones, an Ikea store is located less than an hour from the target store. These zones are as follows: Laon (02), Cusset (03), Charleville Mézières (08), Estancarbon (31), Saint-Paul-lès-Dax (40), Beauvais (60), Saint Omer (62), Orthez (64), and Dieppe (76). In these zones, the presence of Ikea, which offers all product families distributed by the parties at low prices and has a significant depth of range, constitutes a real alternative for consumers in the affected areas (filter no. 3). In addition to these Ikea stores, there are still at least two major national brands in these zones (Monsieur Meubles, Maison du monde, or JSK).</w:t>
      </w:r>
    </w:p>
    <w:p>
      <w:r>
        <w:t>249. The risks of harming competition in these 9 zones can thus be ruled out.</w:t>
      </w:r>
    </w:p>
    <w:p>
      <w:r>
        <w:t>Other zones</w:t>
        <w:br/>
        <w:t>250. The breakdown of market shares of the new entity ranging from 50% to 100% by product family is as follows for the remaining 56 zones:</w:t>
        <w:br/>
        <w:t>Number of zones</w:t>
        <w:br/>
        <w:t>Furniture Bedding Upholstered furniture</w:t>
        <w:br/>
        <w:t>% less than or equal</w:t>
        <w:br/>
        <w:t>Between 50% and 60% 33 4 19</w:t>
        <w:br/>
        <w:t>Between 60% and 70% 2 0 17</w:t>
        <w:br/>
        <w:t>Between 70% and 80% 0 0 4</w:t>
        <w:br/>
        <w:t>Greater than 90% 0 0 0</w:t>
        <w:br/>
        <w:t>Total 35 4 40</w:t>
      </w:r>
    </w:p>
    <w:p>
      <w:r>
        <w:t>251. The market shares of the new entity will exceed 50% in the three product families concerned in 4 zones and in two product families concerned in 15 zones. Thus, in 37 zones, the new entity has a market share exceeding 50% in a single family of furniture products, namely: 16 zones concerning only furniture and 21 zones concerning only bedding.</w:t>
      </w:r>
    </w:p>
    <w:p>
      <w:r>
        <w:t>252. The following table summarizes the various overlaps between local zones:</w:t>
        <w:br/>
        <w:t>Number of zones above 50%: Total</w:t>
        <w:br/>
        <w:t>Three families 4</w:t>
        <w:br/>
        <w:t>Two families (furniture and bedding) 15</w:t>
        <w:br/>
        <w:t>One single family including 37</w:t>
        <w:br/>
        <w:t>Furniture only 16</w:t>
        <w:br/>
        <w:t>Bedding only 21</w:t>
        <w:br/>
        <w:t>Total 56</w:t>
      </w:r>
    </w:p>
    <w:p>
      <w:r>
        <w:t>Furniture, upholstered furniture, and bedding</w:t>
        <w:br/>
        <w:t>253. When the three product families are impacted by the operation, the market shares of the 4 affected zones are as follows:</w:t>
        <w:br/>
        <w:t>Furniture Upholstered furniture</w:t>
        <w:br/>
        <w:t>Zones Bedding</w:t>
        <w:br/>
        <w:t>11 - Carcassonne [50-60] % [50-60] % [70-80] %</w:t>
        <w:br/>
        <w:t>50 - Tollevast [50-60] % [50-60] % [60-70] %</w:t>
        <w:br/>
        <w:t>60 - Compiègne [50-60] % [50-60] % [60-70] %</w:t>
        <w:br/>
        <w:t>79 - Niort [50-60] % [50-60] % [60-70] %</w:t>
      </w:r>
    </w:p>
    <w:p>
      <w:r>
        <w:t>Furniture and bedding</w:t>
        <w:br/>
        <w:t>254. When the two product families are impacted by the operation, the market shares of the 15 affected zones are as follows:</w:t>
        <w:br/>
        <w:t>Zones Furniture Bedding</w:t>
        <w:br/>
        <w:t>11 - Narbonne [50-60] % [60-70] %</w:t>
        <w:br/>
        <w:t>15 - Aurillac [50-60] % [50-60] %</w:t>
        <w:br/>
        <w:t>16 - Soyaux [50-60] % [50-60] %</w:t>
        <w:br/>
        <w:t>17 - Puilboreau [50-60] % [60-70] %</w:t>
        <w:br/>
        <w:t>26 - Montélimar [60-70] % [50-60] %</w:t>
        <w:br/>
        <w:t>34 - Béziers [50-60] % [60-70] %</w:t>
        <w:br/>
        <w:t>40 - Mont de Marsan [50-60] % [60-70] %</w:t>
        <w:br/>
        <w:t>49 - Angers [50-60] % [50-60] %</w:t>
        <w:br/>
        <w:t>49 - Distre [50-60] % [50-60] %</w:t>
        <w:br/>
        <w:t>56 - Ploeren [50-60] % [50-60] %</w:t>
        <w:br/>
        <w:t>61 - Condé sur Sarthe [50-60] % [50-60] %</w:t>
      </w:r>
    </w:p>
    <w:p>
      <w:r>
        <w:t>64 - Lescar [50-60] % [60-70] %</w:t>
        <w:br/>
        <w:t>66 - Perpignan [50-60] % [50-60] %</w:t>
        <w:br/>
        <w:t>70 - Vesoul [50-60] % [60-70] %</w:t>
        <w:br/>
        <w:t>73 - Gilly sur Isère [50-60] % [50-60] %</w:t>
      </w:r>
    </w:p>
    <w:p>
      <w:r>
        <w:t>Only one product family impacted</w:t>
        <w:br/>
        <w:t>255. The breakdown of market shares of the new entity ranging from 50% to 100% when only one product family is impacted by the operation is presented in the following table:</w:t>
        <w:br/>
        <w:t>Number of zones One family</w:t>
        <w:br/>
        <w:t>% less than or equal</w:t>
        <w:br/>
        <w:t>Furniture Bedding</w:t>
        <w:br/>
        <w:t>Between 50% and 60% 15 10</w:t>
        <w:br/>
        <w:t>Between 60% and 70% 1 8</w:t>
        <w:br/>
        <w:t>Between 70% and 80% 0 3</w:t>
        <w:br/>
        <w:t>Greater than 90% 0 0</w:t>
        <w:br/>
        <w:t>Total 16 21</w:t>
      </w:r>
    </w:p>
    <w:p>
      <w:r>
        <w:t>Furniture</w:t>
        <w:br/>
        <w:t>256. The breakdown of market shares for the 9 zones in which the market share of the new entity will exceed 50% in the furniture market is presented in the following table:</w:t>
        <w:br/>
        <w:t>Zones Furniture</w:t>
        <w:br/>
        <w:t>02 - Saint Quentin [50-60] %</w:t>
        <w:br/>
        <w:t>06 - Cannes [50-60] %</w:t>
        <w:br/>
        <w:t>12 - Sébazac Concourès [50-60] %</w:t>
        <w:br/>
        <w:t>17 - Saint Georges des Coteaux [50-60] %</w:t>
        <w:br/>
        <w:t>19 - Brive la Gaillarde [50-60] %</w:t>
        <w:br/>
        <w:t>26 - Valence [50-60] %</w:t>
        <w:br/>
        <w:t>30 - Ales [50-60] %</w:t>
        <w:br/>
        <w:t>39 - Lons le Saunier [60-70] %</w:t>
        <w:br/>
        <w:t>71 - Sance [50-60] %</w:t>
        <w:br/>
        <w:t>73 - Voglans [50-60] %</w:t>
        <w:br/>
        <w:t>76 – Gonfreville l'Orcher [50-60] %</w:t>
        <w:br/>
        <w:t>80 - Amiens [50-60] %</w:t>
        <w:br/>
        <w:t>81 - Castres [50-60] %</w:t>
        <w:br/>
        <w:t>81 - Puygouzon [50-60] %</w:t>
        <w:br/>
        <w:t>86 - Chasseneuil du Poitou [50-60] %</w:t>
      </w:r>
    </w:p>
    <w:p>
      <w:r>
        <w:rPr>
          <w:b/>
        </w:rPr>
        <w:t>[Pages 58–60]</w:t>
      </w:r>
    </w:p>
    <w:p>
      <w:r>
        <w:t>Bedding</w:t>
        <w:br/>
        <w:t>257. The breakdown of market shares for the 21 zones in which the market share of the new entity will exceed 50% in the bedding market is presented in the following table:</w:t>
        <w:br/>
        <w:t>Zones Furniture</w:t>
        <w:br/>
        <w:t>03 - Moulins [70-80] %</w:t>
        <w:br/>
        <w:t>17 - Tonnay Charente [50-60] %</w:t>
        <w:br/>
        <w:t>18 - Saint Germain du Puy [60-70] %</w:t>
        <w:br/>
        <w:t>20 - Furiani [60-70] %</w:t>
        <w:br/>
        <w:t>20 - Sarrola Carcopino [70-80] %</w:t>
        <w:br/>
        <w:t>22 - Lannion [50-60] %</w:t>
        <w:br/>
        <w:t>24 - Bergerac [70-80] %</w:t>
        <w:br/>
        <w:t>25 - Besançon [60-70] %</w:t>
        <w:br/>
        <w:t>36 - Saint Maur [50-60] %</w:t>
        <w:br/>
        <w:t>45 - Villemandeur [60-70] %</w:t>
        <w:br/>
        <w:t>47 - Agen [50-60] %</w:t>
        <w:br/>
        <w:t>47 - Marmande [50-60] %</w:t>
        <w:br/>
        <w:t>47 - Villeneuve sur Lot [50-60] %</w:t>
        <w:br/>
        <w:t>54 - Luneville [50-60] %</w:t>
        <w:br/>
        <w:t>55 - Verdun [70-80] %</w:t>
        <w:br/>
        <w:t>56 - Lorient [50-60] %</w:t>
        <w:br/>
        <w:t>65 - Ibos [60-70] %</w:t>
        <w:br/>
        <w:t>87 - Limoges [50-60] %</w:t>
        <w:br/>
        <w:t>88 - Chavelot [50-60] %</w:t>
        <w:br/>
        <w:t>89 - Auxerre [70-80] %</w:t>
        <w:br/>
        <w:t>89 - Sens [50-60] %</w:t>
        <w:br/>
        <w:t>Conclusion on market shares at the local level</w:t>
        <w:br/>
        <w:t>258. In light of the market shares of the parties or the number of remaining competitors, and after taking into account the presence of Ikea retail outlets located less than an hour from each of the considered retail outlets, the investigating services consider that risks of harm to competition cannot be ruled out in the market for furniture in 35 zones, in the market for upholstered furniture in 4 zones, and in the bedding market in 40 zones.</w:t>
        <w:br/>
        <w:t>259. By eliminating duplicates, this represents 56 zones that are considered, at this stage, as likely to confer significant market power to the new entity.</w:t>
        <w:br/>
        <w:t>260. The market shares constitute a first useful indication for determining the market power of the new entity; it is therefore necessary to examine whether other factors may have an impact on this market power. Thus, the competitive proximity of the parties, as well as the existence of potential barriers to entry in the retail distribution markets for furniture, upholstered furniture, and bedding, have been examined to determine the effects of the operation in these zones.</w:t>
      </w:r>
    </w:p>
    <w:p>
      <w:r>
        <w:t>b) Competitive proximity</w:t>
        <w:br/>
        <w:t>261. The parties to the operation are characterized by a very high proximity to each other, illustrated by significant diversion ratios between their brands. They market products that have the same positioning in terms of range. Furthermore, the different product families offered by the two brands are marketed in the same proportions, and the retail outlets of both brands are often located in immediate proximity. The parties are, moreover, the two main large-scale retailers of household equipment products and have a much more extensive network of physical retail outlets than that of furniture retailers. Indeed, But and Conforama have 322 and 170 retail outlets respectively in French territory, while Ikea, Fly, and Alinéa have 35, 12, and 13 retail outlets respectively.</w:t>
        <w:br/>
        <w:t>Diversion ratios</w:t>
        <w:br/>
        <w:t>262. The competitive proximity of the But and Conforama brands can also be assessed through the analysis of diversion ratios. As highlighted by the guidelines of the Authority, it is possible to "quantify the level of competitive pressure exerted by a product sold by one of the parties to the merger on a product sold by another party, by estimating the diversion ratio of the first product to the second." The higher this diversion ratio, the stronger the substitutability between the offers, and thus the greater the risk of unilateral effects.</w:t>
        <w:br/>
        <w:t>263. In this case, a survey was conducted by the notifying party among consumers of But and Conforama who made a purchase at one of the two brands in the last two years. In this context, they were asked about their store of choice in the event of a price increase of 5% to 10% at one of the two brands, for each product category (kitchen, bathroom, bedding, furniture, and upholstered furniture). The surveyed consumers ranked their choice of store by order of preference, in a hypothetical situation where all brands were accessible to consumers. The websites of physical brands (e.g., ikea.com) and online-only players (e.g., made.com) were assumed to be accessible to all consumers. The parties are not present in the bathroom market and have limited market shares (in any case below 25%) in the kitchen market, so this analysis focuses on the three product families on which the new entity would have strong local positions (furniture, upholstered furniture, and bedding).</w:t>
        <w:br/>
        <w:t>264. The report from the investigating services estimated the diversion ratios at the national level, only taking into account the main store of choice, i.e., all consumer diversions are assigned to their first choice. The diversion ratios for the two brands were then above 15% for the three product categories concerned and particularly high for the bedding and upholstered furniture categories (diversion ratios above 40%). By way of illustration, given the variable cost margin rates of the But and Conforama brands (ranging from [30-40]% to [50-60]% depending on the product categories), the critical diversion ratios, i.e., those likely to lead to a GUPPI index112 above 5%, the threshold beyond which the diversion ratio can be considered critical, have been calculated113. The higher this diversion ratio, the greater the risk of unilateral effects. However, in this case, these critical diversion ratios, i.e., above 5%, were between [5-10]% and [10-20]% approximately. They therefore indicate that the operation is likely to generate significant unilateral effects. The diversion ratios are presented in the following tables.</w:t>
        <w:br/>
        <w:t>Table - National diversion ratio of But stores*</w:t>
        <w:br/>
        <w:t>Diversion ratio</w:t>
        <w:br/>
        <w:t>Price increase of</w:t>
        <w:br/>
        <w:t>Critical variable cost margin Ratio of diversion</w:t>
        <w:br/>
        <w:t>10%</w:t>
        <w:br/>
        <w:t>weighted by</w:t>
        <w:br/>
        <w:t>expenditures **</w:t>
        <w:br/>
        <w:t>Bedding [40-50]% [50-60]% [5-10]%</w:t>
        <w:br/>
        <w:t>Furniture [10-20]% [40-50]% [10-20]%</w:t>
        <w:br/>
        <w:t>Upholstered furniture [40-50]% [40-50]% [10-20]%</w:t>
        <w:br/>
        <w:t>* The diversion ratios presented take into account diversions to the Conforama website (conforama.fr).</w:t>
        <w:br/>
        <w:t>** Weighted by consumer expenditures in the relevant product category.</w:t>
        <w:br/>
        <w:t>*** The critical diversion ratio is the threshold beyond which the GUPPI index is above 5%.</w:t>
        <w:br/>
        <w:t>Table - National diversion ratio of Conforama stores*</w:t>
        <w:br/>
        <w:t>Diversion ratio</w:t>
        <w:br/>
        <w:t>Price increase of</w:t>
        <w:br/>
        <w:t>Critical variable cost margin Ratio of diversion</w:t>
        <w:br/>
        <w:t>10%</w:t>
        <w:br/>
        <w:t>weighted by</w:t>
        <w:br/>
        <w:t>expenditures **</w:t>
        <w:br/>
        <w:t>Bedding [40-50]% [50-60]% [5-10]%</w:t>
        <w:br/>
        <w:t>Furniture [20-30]% [40-50]% [10-20]%</w:t>
        <w:br/>
        <w:t>Upholstered furniture [50-60]% [30-40]% [10-20]%</w:t>
        <w:br/>
        <w:t>* The diversion ratios presented take into account diversions to the But website (but.fr).</w:t>
        <w:br/>
        <w:t>** Weighted by consumer expenditures in the relevant product category.</w:t>
        <w:br/>
        <w:t>*** The critical diversion ratio is the threshold beyond which the GUPPI index is above 5%.</w:t>
        <w:br/>
        <w:t>265. In its observations on the report, the notifying party argues that the analysis of diversion ratios conducted by the investigating services contains biases, on the one hand because it does not take into account all diversion options, nor the distance between stores which could nonetheless challenge the established order among the selected diversion options, and on the other hand, because the survey does not list certain brands, particularly local ones114.</w:t>
        <w:br/>
        <w:t>266. However, the observations of the notifying party do not call into question the methodology or the results of the diversion ratio analysis.</w:t>
      </w:r>
    </w:p>
    <w:p>
      <w:r>
        <w:rPr>
          <w:b/>
        </w:rPr>
        <w:t>[Pages 61–63]</w:t>
      </w:r>
    </w:p>
    <w:p>
      <w:r>
        <w:t>267. First, regarding the use of the main diversion ratio option in the calculations of diversion ratios, this method is justified by the fact that a consumer is actually unlikely to split their spending between multiple stores, particularly concerning furniture expenditures. The first diversion option selected by the consumer is therefore the one that is most likely to constitute their choice for diverting all of their spending. Nevertheless, the Authority notes that if another calculation methodology—fairly considering all diversion options—had been adopted, the results of the analysis by the investigating services would have remained valid.</w:t>
      </w:r>
    </w:p>
    <w:p>
      <w:r>
        <w:t>268. Secondly, the competitive proximity of the parties is assessed on a national scale. It is therefore appropriate to calculate national diversion ratios, that is to say, assuming that all brands are accessible to consumers and thus without consideration of distances between them, contrary to the methodology that the parties would like to apply.</w:t>
      </w:r>
    </w:p>
    <w:p>
      <w:r>
        <w:t>269. Thirdly, even though the surveys conducted in the context of this operation provided respondents with a list of diversion brands, they also had the option to select the response "Other" in the event that the brand of their choice was not available. The survey results show that this option was frequently used by respondents. For example, regarding bedding, more than 10% of consumers from But and Conforama chose to use this response option, and in more than 5% of cases, this option was ranked as the preferred diversion option. Respondents indeed had the possibility to choose to divert to local brands, contrary to what the parties claim.</w:t>
      </w:r>
    </w:p>
    <w:p>
      <w:r>
        <w:t>270. In conclusion, the Authority believes that the competitive proximity of the parties, illustrated by the calculation of diversion ratios and GUPPI indices on a national scale and by categories of furniture, is very significant.</w:t>
      </w:r>
    </w:p>
    <w:p>
      <w:r>
        <w:t>Commercial positioning of the parties</w:t>
        <w:br/>
        <w:t>271. As shown by both the market test and the survey, the parties are positioned in the same market segment, that of entry-level and mid-range products. The market test gathered the opinions of the 33 main competitors of the parties in the furniture market. They were asked to assign a score from 1 to 4 to define the positioning of the parties in terms of range. On average, respondents assigned a score of 1.50 to But and 1.47 to Conforama.</w:t>
      </w:r>
    </w:p>
    <w:p>
      <w:r>
        <w:t>272. The sales structure, that is to say, the distribution of sales according to different product categories, of the two brands also shows their very close proximity.</w:t>
        <w:br/>
        <w:t>% of revenue by product category Conforama But</w:t>
        <w:br/>
        <w:t>Household appliances [30-40] % [30-40] %</w:t>
        <w:br/>
        <w:t>White goods [20-30] % [20-30] %</w:t>
        <w:br/>
        <w:t>Brown goods [5-10] % [5-10] %</w:t>
        <w:br/>
        <w:t>Grey goods [5-10] % [0-5] %</w:t>
        <w:br/>
        <w:t>Furniture products [50-60] % [60-70] %</w:t>
        <w:br/>
        <w:t>Kitchen [5-10] % [5-10] %</w:t>
        <w:br/>
        <w:t>Bathroom [0-5] % [0-5] %</w:t>
        <w:br/>
        <w:t>Bedding [10-20] % [10-20] %</w:t>
        <w:br/>
        <w:t>Armchairs and sofas [10-20] % [10-20] %</w:t>
        <w:br/>
        <w:t>Furniture/other furniture [20-30] % [20-30] %</w:t>
        <w:br/>
        <w:t>Decoration-bazaar products [5-10] % [5-10] %</w:t>
        <w:br/>
        <w:t>Total 100 % 100 %</w:t>
      </w:r>
    </w:p>
    <w:p>
      <w:r>
        <w:t>273. Indeed, although the sales volumes differ between the parties due to the number of different points of sale, these figures show how similar the sales structure is. The only notable difference is that But does not distribute, or distributes very few, grey products, which tends to increase the share of sales in other product categories. Aside from this exception, the major product families (household appliances, furniture, and decoration-bazaar) have similar weights, and within each of them, the sales structures are themselves very close.</w:t>
      </w:r>
    </w:p>
    <w:p>
      <w:r>
        <w:t>Geographical proximity</w:t>
        <w:br/>
        <w:t>274. Geographically, the proximity of the two brands is also significant. The distance report provided by the notifying party allowed for the determination of the travel time separating each Conforama point of sale from the nearest But point of sale. Thus, on average, a consumer will have a travel time of less than 9 minutes from a Conforama store to reach the nearest But store. It should also be noted that 120 of the 165 Conforama stores, or more than 70% of Conforama stores, are located less than 10 minutes from a But store, and nearly 90 Conforama stores, or more than 50%, are located less than 5 minutes from a But store.</w:t>
      </w:r>
    </w:p>
    <w:p>
      <w:r>
        <w:t>Travel time</w:t>
        <w:br/>
        <w:t>Conforama - But</w:t>
        <w:br/>
        <w:t>min</w:t>
        <w:br/>
        <w:t>70</w:t>
        <w:br/>
        <w:t>60</w:t>
        <w:br/>
        <w:t>50</w:t>
        <w:br/>
        <w:t>40</w:t>
        <w:br/>
        <w:t>30</w:t>
        <w:br/>
        <w:t>20</w:t>
        <w:br/>
        <w:t>Average travel time = 8.7 min</w:t>
        <w:br/>
        <w:t>10</w:t>
        <w:br/>
        <w:t>0</w:t>
        <w:br/>
        <w:t>1593 1711 2529 2337 1454 9435 7516 5696 377 1858 9839 7910 501 901 311 711 121 521 921 331 731 141 541 941 351 751 161 561</w:t>
      </w:r>
    </w:p>
    <w:p>
      <w:r>
        <w:t>275. In light of all these elements, the parties appear to be the closest competitors in the furniture markets.</w:t>
      </w:r>
    </w:p>
    <w:p>
      <w:r>
        <w:t>c) Barriers to entry</w:t>
        <w:br/>
        <w:t>276. The markets for the distribution of furniture products present various barriers to entry. These include economic barriers as well as regulatory ones and those related to the availability of commercial land.</w:t>
      </w:r>
    </w:p>
    <w:p>
      <w:r>
        <w:t>277. Regarding economic barriers, the market test indicates that entering the furniture market requires having a critical size to establish a new brand of sufficient scale to source under favorable conditions from suppliers, but also to cover the fixed costs associated with launching a new distribution brand. Thus, one supplier emphasizes that "the larger the volumes, the stronger the distributor's negotiating power." The Casino group also highlighted "the importance of the investments required to establish a new brand present throughout the national territory." In the same vein, the Lapeyre group indicated that "having stores in the territory is a prerequisite for accessing the market."</w:t>
      </w:r>
    </w:p>
    <w:p>
      <w:r>
        <w:t>278. Furthermore, regarding the establishment of physical stores, the market test reveals that the administrative authorization regime, the scarcity of commercial land, and the competitive pressure exerted by online sales make it difficult to open new points of sale.</w:t>
      </w:r>
    </w:p>
    <w:p>
      <w:r>
        <w:t>279. Regarding online sales, the Intermarché group, which owns the Bricomarché brands, indicated that "the catchment area of a store is now national or even...</w:t>
      </w:r>
    </w:p>
    <w:p>
      <w:r>
        <w:rPr>
          <w:b/>
        </w:rPr>
        <w:t>[Pages 64–66]</w:t>
      </w:r>
    </w:p>
    <w:p>
      <w:r>
        <w:t>internationale and not just local. Indeed, it is difficult to consider local development, given the purchasing behaviors of consumers who have access to an ultra-wide range of products through national and even international digital channels.</w:t>
      </w:r>
    </w:p>
    <w:p>
      <w:r>
        <w:t>280. In particular, for the development of online sales, the necessity to ensure home deliveries has been deemed a barrier to the entry of new operators. In this regard, Ubaldi, a retailer of household appliances, furniture, and bedding primarily active in online sales, emphasizes "the difficulty of ensuring good logistics for heavy and bulky products."</w:t>
      </w:r>
    </w:p>
    <w:p>
      <w:r>
        <w:t>281. The establishment of online sales would require adequate investments to offer services equivalent to those provided in physical stores. These investments may relate, in addition to those concerning home delivery services (additional costs, delivery slots, etc.), to the return policy for products in case of dissatisfaction, the establishment of a network of pick-up points, or the development of technological innovations to enhance user experience.</w:t>
      </w:r>
    </w:p>
    <w:p>
      <w:r>
        <w:t>282. No significant player has entered the furniture markets in recent years. The notifying party mentioned the possibility of the Wayfair group entering the French market. According to them, this group is a leader in online furniture sales in the United States. This group is also present in Germany and is preparing to enter the French market. However, no evidence currently suggests that this group will enter the French market in the short or medium term.</w:t>
      </w:r>
    </w:p>
    <w:p>
      <w:r>
        <w:t>283. In light of all these elements, the entry of a new operator likely to significantly stimulate competition in the furniture markets appears unlikely.</w:t>
      </w:r>
    </w:p>
    <w:p>
      <w:r>
        <w:t>d) Effects</w:t>
      </w:r>
    </w:p>
    <w:p>
      <w:r>
        <w:t>284. The new entity will have market shares exceeding 50% in 35 zones concerning upholstered furniture, in 4 zones concerning upholstered furniture, and in 40 zones concerning bedding furniture, totaling (after eliminating duplicates) 56 local zones.</w:t>
      </w:r>
    </w:p>
    <w:p>
      <w:r>
        <w:t>285. Given the significant penetration rate of online sales, competitors with establishments in the relevant zones will necessarily have very limited market shares and, in any case, will be much lower than those of the new entity.</w:t>
      </w:r>
    </w:p>
    <w:p>
      <w:r>
        <w:t>286. Furthermore, there is a very strong competitive proximity between the parties, as these two brands are the closest competitors in the considered markets. The significant diversion ratios existing between the parties combined with the high gross margin rates achieved by these two brands on the examined product categories show that the new entity will have a general incentive to raise prices.</w:t>
      </w:r>
    </w:p>
    <w:p>
      <w:r>
        <w:t>287. Finally, the existence of significant barriers to entry makes it very unlikely that an operator capable of stimulating competition in the considered markets will enter in the short or medium term.</w:t>
      </w:r>
    </w:p>
    <w:p>
      <w:r>
        <w:t>288. The operation is therefore likely to harm competition, particularly through price increases in the local markets for the distribution of upholstered furniture, furniture, and bedding furniture, as identified in paragraph 258 of this decision.</w:t>
      </w:r>
    </w:p>
    <w:p>
      <w:r>
        <w:t>D. MARKET FOR BAZAAR DECORATION PRODUCTS</w:t>
      </w:r>
    </w:p>
    <w:p>
      <w:r>
        <w:t>1. UPSTREAM MARKET</w:t>
      </w:r>
    </w:p>
    <w:p>
      <w:r>
        <w:t>a) Presentation of market shares</w:t>
      </w:r>
    </w:p>
    <w:p>
      <w:r>
        <w:t>289. In the markets for the supply of decoration and bazaar products, the purchasing market share of the new entity will always be below 20%, regardless of the segmentations and dimensions considered.</w:t>
      </w:r>
    </w:p>
    <w:p>
      <w:r>
        <w:t>b) Analysis of the risk of economic dependence of suppliers</w:t>
      </w:r>
    </w:p>
    <w:p>
      <w:r>
        <w:t>290. Regarding bazaar and decoration products, conservatively retaining a threat threshold of 20%, based on responses to market tests, only two common suppliers of the parties surveyed in this sector would be placed in a situation of economic dependence after the operation. They will respectively generate [20-30]% and [30-40]% of their turnover with the new entity. Moreover, the market shares of the new entity will be limited (in any case below 20%), so that suppliers of bazaar and decoration products will continue to have significant alternative outlets, such as the Gifi or Foir’Fouille groups.</w:t>
      </w:r>
    </w:p>
    <w:p>
      <w:r>
        <w:t>291. Therefore, the operation is not likely to harm competition in the markets for the supply of bazaar and decoration products through the creation or strengthening of purchasing power due to the low number of suppliers placed in a situation of economic dependence, the low market shares of the new entity upstream (in any case below 20%), and the existence of a very large number of alternatives for suppliers.</w:t>
      </w:r>
    </w:p>
    <w:p>
      <w:r>
        <w:t>2. DOWNSTREAM MARKETS</w:t>
      </w:r>
    </w:p>
    <w:p>
      <w:r>
        <w:t>a) Analysis of horizontal effects at the national level</w:t>
      </w:r>
    </w:p>
    <w:p>
      <w:r>
        <w:t>292. In the national market for the physical retail distribution of low and medium-priced bazaar and decoration products, the new entity will have a market share of approximately [10-20]% in sales area and [5-10]% in value. The new entity will face significant competitors such as GSS in bazaar and decoration like Gifi, Centrakor, La Foir’fouille. It will also be confronted with competition from the Ikea group.</w:t>
      </w:r>
    </w:p>
    <w:p>
      <w:r>
        <w:t>293. Furthermore, in the national market for online sales of low and medium-priced bazaar and decoration products, the market share of the new entity will be less than 1%.</w:t>
      </w:r>
    </w:p>
    <w:p>
      <w:r>
        <w:t>294. The operation is therefore not likely to harm competition through horizontal effects at the national level concerning the retail distribution of low and medium-priced bazaar and decoration products.</w:t>
      </w:r>
    </w:p>
    <w:p>
      <w:r>
        <w:t>b) Analysis of horizontal effects at the local level</w:t>
      </w:r>
    </w:p>
    <w:p>
      <w:r>
        <w:t>295. As indicated in paragraph 73, the decision-making practice distinguishes the markets for the retail distribution of bazaar and decoration products based on distribution channels. Consequently, the local analysis presented below does not include online sales of these products.</w:t>
      </w:r>
    </w:p>
    <w:p>
      <w:r>
        <w:t>296. In this case, the activities of the parties overlap in 143 local zones (out of a total of 165 zones) in the market for the retail distribution of low and medium-priced bazaar and decoration products. The market share of the new entity will be below 25% in 135 zones. Based on the criteria outlined in paragraphs 216 and following, these zones are therefore not likely to pose a competition problem following the operation. In the remaining 8 zones, the market shares of the new entity will be between 25% and 50%. In these zones, the new entity will face at least three national competitors, so that following the operation, the new entity will be subject to significant competitive pressure in these zones.</w:t>
      </w:r>
    </w:p>
    <w:p>
      <w:r>
        <w:t>297. Consequently, the operation is not likely to harm competition through horizontal effects in the local markets for the retail distribution of low and medium-priced bazaar and decoration products.</w:t>
      </w:r>
    </w:p>
    <w:p>
      <w:r>
        <w:t>E. MARKET FOR HOUSEHOLD APPLIANCES</w:t>
      </w:r>
    </w:p>
    <w:p>
      <w:r>
        <w:t>1. UPSTREAM MARKETS</w:t>
      </w:r>
    </w:p>
    <w:p>
      <w:r>
        <w:t>a) Presentation of market shares</w:t>
      </w:r>
    </w:p>
    <w:p>
      <w:r>
        <w:t>298. In the markets for the supply of household appliances, the purchasing market share of the new entity will always be below 20%, regardless of the segmentations and dimensions considered.</w:t>
      </w:r>
    </w:p>
    <w:p>
      <w:r>
        <w:t>b) Analysis of the risk of economic dependence of suppliers</w:t>
      </w:r>
    </w:p>
    <w:p>
      <w:r>
        <w:t>299. The main concerns of suppliers of household appliances surveyed in the context of the market test are related to the purchasing centers of Conforama for the purchase of household appliances. These concerns relate to the integration of But (or But International) within the common purchasing center with Casino called "MANO-A" and the international purchasing center "SICA." Suppliers fear a strengthening of the purchasing power of the new entity and the alignment of negotiation conditions between the different purchasing centers of the parties.</w:t>
      </w:r>
    </w:p>
    <w:p>
      <w:r>
        <w:rPr>
          <w:b/>
        </w:rPr>
        <w:t>[Pages 67–69]</w:t>
      </w:r>
    </w:p>
    <w:p>
      <w:r>
        <w:t>300. However, conservatively retaining a threat threshold of 20%, only a small number of these suppliers, namely five, indicated that they would be placed in a situation of economic dependence following the operation, whereas the parties have more than sixty common suppliers in this sector. Furthermore, some data provided by the suppliers pertain to the French subsidiary and not to their group. Some of the suppliers concerned are subsidiaries of large European or global groups and have outlets across Europe and even the world (for example, Beko, a Turkish company present in over a hundred countries and which claims to be the second brand in sales volume in Europe of white goods or the Haier/Candy Hoover group).</w:t>
      </w:r>
    </w:p>
    <w:p>
      <w:r>
        <w:t>301. Moreover, the share represented by the new entity in their turnover will remain moderate as it remains below [20-30]%. Therefore, the operation is not likely to harm competition in the markets for the supply of household appliances through the creation or strengthening of purchasing power, due to the low number of suppliers placed in a situation of economic dependence, the low market shares of the new entity upstream (in any case below 20%), and the existence of a very large number of alternatives for suppliers (Boulanger, Fnac/Darty, etc.).</w:t>
      </w:r>
    </w:p>
    <w:p>
      <w:r>
        <w:t>2. DOWNSTREAM MARKETS</w:t>
      </w:r>
    </w:p>
    <w:p>
      <w:r>
        <w:t>302. For the products for which the Authority has considered or retained a single market encompassing sales in physical stores and distance sales, a penetration rate of [20-30]% for brown goods and [20-30]% for white goods has been retained.</w:t>
      </w:r>
    </w:p>
    <w:p>
      <w:r>
        <w:t>a) Analysis of horizontal effects at the national level</w:t>
      </w:r>
    </w:p>
    <w:p>
      <w:r>
        <w:t>303. In the national market for household appliances, the market share of the new entity will rise to [5-10]%.</w:t>
      </w:r>
    </w:p>
    <w:p>
      <w:r>
        <w:t>Brown goods</w:t>
      </w:r>
    </w:p>
    <w:p>
      <w:r>
        <w:t>304. In the national market for the retail distribution of brown goods, the market share of the new entity will be [0-5]% at the national level in the market including both in-store sales and online sales in accordance with decision-making practice.</w:t>
      </w:r>
    </w:p>
    <w:p>
      <w:r>
        <w:t>White goods</w:t>
      </w:r>
    </w:p>
    <w:p>
      <w:r>
        <w:t>305. In the national market for the retail distribution of white goods, the new entity will have limited market shares and will face significant competitors regardless of the segmentation retained.</w:t>
      </w:r>
    </w:p>
    <w:p>
      <w:r>
        <w:t>306. The following table summarizes the market shares according to the different segmentations considered by decision-making practice:</w:t>
      </w:r>
    </w:p>
    <w:p>
      <w:r>
        <w:t>Market share of the new entity: In value:</w:t>
        <w:br/>
        <w:t>In physical stores [5-10]%</w:t>
        <w:br/>
        <w:t>White goods</w:t>
        <w:br/>
        <w:t>Online [0-5]%</w:t>
        <w:br/>
        <w:t>All channels [5-10]%</w:t>
        <w:br/>
        <w:t>In physical stores [10-20]%</w:t>
        <w:br/>
        <w:t>Large appliances [10-20]%</w:t>
        <w:br/>
        <w:t>Online [5-10]%</w:t>
        <w:br/>
        <w:t>All channels</w:t>
        <w:br/>
        <w:t>In physical stores [5-10]%</w:t>
        <w:br/>
        <w:t>Small appliances [0-5]%</w:t>
        <w:br/>
        <w:t>Online [0-5]%</w:t>
        <w:br/>
        <w:t>All channels</w:t>
      </w:r>
    </w:p>
    <w:p>
      <w:r>
        <w:t>307. In these markets, the market share of the new entity will remain limited. Furthermore, the new entity will face competition from large food retailers and groups distributing household appliances, such as HTM (Boulanger) and Fnac Darty.</w:t>
      </w:r>
    </w:p>
    <w:p>
      <w:r>
        <w:t>308. Consequently, the operation is not likely to harm competition in the various national markets for the distribution of household appliances.</w:t>
      </w:r>
    </w:p>
    <w:p>
      <w:r>
        <w:t>b) Analysis of horizontal effects at the local level</w:t>
      </w:r>
    </w:p>
    <w:p>
      <w:r>
        <w:t>Local markets for the retail distribution of brown goods</w:t>
      </w:r>
    </w:p>
    <w:p>
      <w:r>
        <w:t>309. As indicated in paragraph 83, decision-making practice considers that the retail distribution online and in physical stores of brown goods constitutes a single market. Consequently, the local analysis presented below includes online sales.</w:t>
      </w:r>
    </w:p>
    <w:p>
      <w:r>
        <w:t>310. In this case, the activities of the parties overlap in 152 local areas (out of a total of 165 Conforama metropolitan sales points) in the market for the retail distribution of brown goods.</w:t>
      </w:r>
    </w:p>
    <w:p>
      <w:r>
        <w:t>311. In all of these overlapping areas, the market share of the new entity is below 25%.</w:t>
      </w:r>
    </w:p>
    <w:p>
      <w:r>
        <w:t>312. Consequently, the operation is not likely to harm competition through horizontal effects in the local markets for the retail distribution of brown goods.</w:t>
      </w:r>
    </w:p>
    <w:p>
      <w:r>
        <w:t>Local markets for the retail distribution of white goods</w:t>
      </w:r>
    </w:p>
    <w:p>
      <w:r>
        <w:t>313. As indicated in paragraph 87, decision-making practice envisions a distinction between online sales of white goods and sales in physical stores of these same products. The local analysis presented below does not include online sales of these products.</w:t>
      </w:r>
    </w:p>
    <w:p>
      <w:r>
        <w:t>314. In this case, the activities of the parties overlap in 152 local areas (out of a total of 165 Conforama metropolitan sales points) in the market for the retail distribution of white goods.</w:t>
      </w:r>
    </w:p>
    <w:p>
      <w:r>
        <w:t>315. In 126 of these local areas, the market share of the new entity will be below 25%.</w:t>
      </w:r>
    </w:p>
    <w:p>
      <w:r>
        <w:t>316. In the remaining 26 areas, the market share of the new entity will be between 25% and 50%. In all of these areas, the new entity will face competition from at least three competitors.</w:t>
      </w:r>
    </w:p>
    <w:p>
      <w:r>
        <w:t>317. Therefore, the operation is not likely to harm competition in the 152 overlapping areas.</w:t>
      </w:r>
    </w:p>
    <w:p>
      <w:r>
        <w:t>318. The conclusions of the competitive analysis remain unchanged, reasoning on a market specific to small appliances, on the one hand, and large appliances, on the other.</w:t>
      </w:r>
    </w:p>
    <w:p>
      <w:r>
        <w:t>319. Indeed, in the market relating to small appliances, the new entity will have a market share of less than 25% in 139 areas. In the remaining 13 areas, the market share of the new entity will be between 25% and 50%. In all of these areas, the new entity will face competition from at least three competitors.</w:t>
      </w:r>
    </w:p>
    <w:p>
      <w:r>
        <w:t>320. Similarly, in the market relating to large appliances, the new entity will have a market share of less than 25% in 128 areas. In 41 areas, the market share of the new entity will be between 25% and 50%. In these areas, the new entity will face competition from at least three competitors. In the remaining three areas, the market share of the new entity will be between 50% and 55%: Aurillac ([50-60]%), Cahors ([50-60]%), and Estancarbon ([50-60]%). In these three areas, the new entity will face competition from at least three national players. It should be noted that the new entity will also experience, to some extent, competitive pressure from online sales.</w:t>
      </w:r>
    </w:p>
    <w:p>
      <w:r>
        <w:t>321. Consequently, the operation is not likely to harm competition through horizontal effects in the local markets for the retail distribution of white goods, regardless of the segmentation considered.</w:t>
      </w:r>
    </w:p>
    <w:p>
      <w:r>
        <w:t>IV. Efficiency Gains</w:t>
      </w:r>
    </w:p>
    <w:p>
      <w:r>
        <w:t>A. REMINDER OF DECISION-MAKING PRACTICE</w:t>
      </w:r>
    </w:p>
    <w:p>
      <w:r>
        <w:t>322. Pursuant to the provisions of Article L. 430-6 of the Commercial Code, when the Authority conducts a detailed examination of a concentration operation, it "assesses whether the operation provides a sufficient contribution to economic progress to offset the harm to competition." The Authority examines, in particular, the economic efficiency gains of the operation likely to increase the incentive of the company resulting from the operation to adopt behavior favorable to competition.</w:t>
      </w:r>
    </w:p>
    <w:p>
      <w:r>
        <w:rPr>
          <w:b/>
        </w:rPr>
        <w:t>[Pages 70–72]</w:t>
      </w:r>
    </w:p>
    <w:p>
      <w:r>
        <w:t>323. Both the courts and the competition authorities have established criteria for assessing the consideration of economic efficiency gains135. Thus, the alleged efficiency gains must be quantifiable and verifiable, specific to the concentration, and a portion of the gains must be passed on to consumers, which excludes gains that benefit only the parties to the operation. It is therefore necessary to examine the efficiency gains claimed by the notifying party, and whether the elements it puts forward in this regard meet the criteria recalled above, and, if applicable, to what extent they are likely to offset the anti-competitive effects of the operation.</w:t>
      </w:r>
    </w:p>
    <w:p>
      <w:r>
        <w:t>B. POSITION OF THE NOTIFYING PARTY</w:t>
        <w:br/>
        <w:t>324. The notifying party argues that the operation is already the source of efficiency gains due to the realization of the operation permitted by the Authority's exemption of July 23, 2020, and that it will generate further gains in the future.</w:t>
        <w:br/>
        <w:t>325. First, the notifying party claims that the operation has resulted in cost savings, notably "economies of scale in procurement" […]". It also specifies that the parties have decided "to deepen the pooling of their purchases […]", this strengthening being expected to increase, in the coming months, the efficiency gains related to the operation. The notifying party further considers that "the operation is also likely to generate more indirect cost savings in terms of current purchases and management." Finally, these alleged cost savings would necessarily be passed on to consumers in whole or in part, due to the variable nature of the concerned costs and the strong competitive pressure faced by the parties.</w:t>
        <w:br/>
        <w:t>326. Secondly, the notifying party also considers that the operation is likely to sustain the diversity of the offer, an offer supported by Conforama and, upstream, by its suppliers.</w:t>
        <w:br/>
        <w:t>327. Thirdly, the operation would allow for the improvement of the quality of the products and services offered by the parties, through the pooling of various support services.</w:t>
      </w:r>
    </w:p>
    <w:p>
      <w:r>
        <w:t>C. APPLICATION TO THE CASE AT HAND</w:t>
        <w:br/>
        <w:t>328. Regarding the cost savings alleged by the notifying party, it provides no concrete elements to support its claims, neither on the number of annual framework agreements currently under negotiation, the identity of the suppliers, or the expected financial consequences, nor on the specific areas where the indirect cost savings would apply and the extent of these savings, nor even on the significance of the economies of scale already achieved, even though concrete financial elements should now be available, given the realization of the operation permitted by the Authority's exemption of July 23, 2020.</w:t>
        <w:br/>
        <w:t>329. Regarding the transfer of gains to consumers, the variable nature of costs alone is not sufficient to demonstrate that the cost savings would benefit consumers, at least partially. While point 778 of the guidelines indicates that "it is more likely that efficiency gains leading to reductions in variable or marginal costs will result in lower consumer prices than reductions in fixed costs," it does not specify that this transmission would be automatic. The demonstration of this transmission cannot be presumed and is the responsibility of the notifying party. Furthermore, the local competitive analysis presented in points 215 and following shows, contrary to what the notifying party claims, that the competitive situation would be significantly degraded following the operation in 56 zones, even when online sales are taken into account. Similarly, at the national level, the cumulative position of the parties is very strong in the markets for upholstered furniture, furniture, and bedding, even after accounting for online sales. Thus, the notifying party's argument, which estimates that the extent of the competitive pressure that will be exerted on the new entity following the operation will ensure that a portion of the efficiency gains will be passed on to consumers, is not acceptable.</w:t>
        <w:br/>
        <w:t>330. Regarding the sustainability of the diversity of Conforama's offer and the improvement of the quality of services alleged by the notifying party, the latter provides no elements to establish that the operation will effectively achieve such gains.</w:t>
        <w:br/>
        <w:t>331. In light of these considerations, the Authority considers that the elements provided by the notifying party are limited to the statement of principles and, not being sufficiently documented, do not allow, at this stage, to establish in concreto the existence of efficiency gains.</w:t>
      </w:r>
    </w:p>
    <w:p>
      <w:r>
        <w:t>V. THE FAILING COMPANY DEFENSE</w:t>
        <w:br/>
        <w:t>332. In exceptional cases, an operation that harms competition and whose contribution to economic progress is not sufficient to offset this harm may still be authorized unconditionally if the so-called "failing company" exception is applied136.</w:t>
        <w:br/>
        <w:t>333. Under French law, the conditions under which the failing company exception may apply have been clarified by the Conseil d'État in its decision of February 6, 2004, regarding the Seb/Moulinex concentration137, which states: "concerning the takeover by a competitor of a distressed company, [the national authority in charge of merger control] must authorize the operation without imposing conditions when it appears at the end of this assessment that the effects of this operation on competition would not be more unfavorable than those resulting from the disappearance of the distressed company."</w:t>
        <w:br/>
        <w:t>334. In the present case, the notifying party considers that the failing company exception should apply, so that the proposed operation should be authorized unconditionally.</w:t>
        <w:br/>
        <w:t>335. After recalling the rules governing the assessment of this exception by the Authority (A), the Authority will assess their application to the case at hand (C), after presenting the arguments of the notifying party (B).</w:t>
      </w:r>
    </w:p>
    <w:p>
      <w:r>
        <w:t>A. RECALL OF THE CRITERIA FOR THE APPLICATION OF THE FAILING COMPANY DEFENSE</w:t>
        <w:br/>
        <w:t>336. The OECD has defined a failing company as follows: "A company is failing when it is consistently making losses and its market share is contracting to such an extent that it can be expected to disappear. The concept of a failing company is of particular interest for merger control. Indeed, the acquiring company may argue that the acquisition of a failing company does not substantially restrict competition, since it is likely to exit the market anyway. If this is the case, the market share currently held by the failing company is not significant for the assessment of future competition and should therefore be relativized."138.</w:t>
        <w:br/>
        <w:t>337. It follows from the Authority's guidelines on merger control that the failing company exception applies in the case of a competitor's takeover of a company that would disappear in the short term if the operation were not carried out. Under these conditions, the Authority may consider authorizing the operation unconditionally, even if it harms competition.</w:t>
        <w:br/>
        <w:t>338. In its decision of February 6, 2004, regarding the aforementioned Seb/Moulinex concentration, the Conseil d'État recalled the three cumulative criteria defined by the Court of Justice in its judgment of March 31, 1998139 for the application of the failing company exception:</w:t>
        <w:br/>
        <w:t>- "firstly, […] [the difficulties] [faced by the company] would lead to the rapid disappearance of the company in the absence of a takeover" (criterion no. 1);</w:t>
        <w:br/>
        <w:t>- "secondly, […] there is no other less harmful offer of takeover for competition, covering all or a substantial part of the company" (criterion no. 2);</w:t>
        <w:br/>
        <w:t>- "thirdly, […] the disappearance of the distressed company would not be less harmful to consumers than the proposed takeover" (criterion no. 3).</w:t>
        <w:br/>
        <w:t>339. The three criteria mentioned by the Conseil d'État must be analyzed according to a logical sequence and ultimately aim to establish that the deterioration of the competitive situation would have occurred even in the absence of the concentration140.</w:t>
        <w:br/>
        <w:t>340. For the Commission, the fundamental condition is that "the deterioration of the structure of competition that would occur after the concentration cannot be considered as being caused by this operation. It must therefore be that the deterioration of the structure of competition in the market is at least as serious if the operation does not take place."141 It considers that three criteria are particularly relevant for the failing company argument to be accepted. The first two criteria retained by the Commission</w:t>
      </w:r>
    </w:p>
    <w:p>
      <w:r>
        <w:rPr>
          <w:b/>
        </w:rPr>
        <w:t>[Pages 73–75]</w:t>
      </w:r>
    </w:p>
    <w:p>
      <w:r>
        <w:t>in its guidelines on the assessment of horizontal concentrations are similar to those of the Council of State 142:</w:t>
        <w:br/>
        <w:t>- "Firstly, the allegedly failing company would, in the near future, be forced to leave the market due to its financial difficulties if it were not taken over by another company.</w:t>
        <w:br/>
        <w:t>- Secondly, there is no other less harmful alternative for the competition than the notified concentration."</w:t>
        <w:br/>
        <w:t>341. In contrast, regarding the third criterion, the Commission mentions the inevitable disappearance of the target assets143:</w:t>
        <w:br/>
        <w:t>- "Thirdly, if the concentration were not carried out, the assets of the failing company would inevitably disappear from the market."</w:t>
        <w:br/>
        <w:t>342. The burden of proof for these three cumulative conditions rests on the notifying party144. Furthermore, the meeting of these three conditions is assessed strictly145.</w:t>
        <w:br/>
        <w:t>343. When these three criteria are cumulatively met, it can be considered that the deterioration of the competitive situation resulting from the notified operation would not be worse than that which would have occurred in the absence of the operation: it can then be authorized unconditionally. Indeed, the deterioration of the competitive situation would have occurred regardless of the cause. The application of the failing firm exception allows the operation to be authorized without remedy: "concerning the takeover by a competitor of a distressed company, [the minister] must authorize the operation without attaching conditions when it appears at the end of this assessment that the effects of this operation on competition would not be more unfavorable than those resulting from the disappearance of the distressed company"146.</w:t>
        <w:br/>
        <w:t>1. THE RAPID DISAPPEARANCE OF THE TARGET COMPANY IN THE ABSENCE OF THE OPERATION (CRITERION NO. 1)</w:t>
        <w:br/>
        <w:t>344. The first criterion requires establishing that the distressed company was unable to continue its activity in the absence of a takeover by a third party. The fact that the target company or companies were in a state of insolvency and had been subject to collective proceedings before a commercial court is generally sufficient to demonstrate that this criterion is satisfied147.</w:t>
        <w:br/>
        <w:t>142 European Commission guidelines, para. 90.</w:t>
        <w:br/>
        <w:t>143 Ibid.</w:t>
        <w:br/>
        <w:t>144 Guidelines, para. 787. See also the European Commission decision of June 26, 1997, IV/M.890 – Blokker/Toys "R" Us and para. 91 of the guidelines on the assessment of horizontal concentrations under the Council Regulation on the control of concentrations between undertakings (2004/C31/03).</w:t>
        <w:br/>
        <w:t>145 Guidelines, para. 787.</w:t>
        <w:br/>
        <w:t>146 Council of State, judgment of February 6, 2004, cited above.</w:t>
        <w:br/>
        <w:t>147 Guidelines, para. 791.</w:t>
        <w:br/>
        <w:t>73</w:t>
      </w:r>
    </w:p>
    <w:p>
      <w:r>
        <w:t>2. THE ABSENCE OF LESS HARMFUL ALTERNATIVE OFFERS (CRITERION NO. 2)</w:t>
        <w:br/>
        <w:t>345. The second criterion establishes that no other offer less harmful to competition would have ensured the continuity of the target company's activity. It involves identifying potential alternative offers and, where applicable, assessing them.</w:t>
        <w:br/>
        <w:t>a) Identification of alternative offers</w:t>
        <w:br/>
        <w:t>346. Firstly, regarding the identification of alternative offers, the notifying party must demonstrate that the divestiture process guarantees sufficient publicity, so that it can be presumed that all relevant alternative offers have been effectively identified.</w:t>
        <w:br/>
        <w:t>347. Procedures overseen by the commercial court generally allow for a presumption of a sufficient level of publicity148.</w:t>
        <w:br/>
        <w:t>348. However, if, when assessing the existence of alternative offers, the Authority can rely on the searches for buyers conducted by stakeholders in the divestiture process (notably conciliators or commercial courts), it is not bound by the conclusions of these procedures. Indeed, the Authority analyzes the procedures independently and on a case-by-case basis to estimate whether one or more credible alternative buyers have emerged, since its assessment of the takeover process is based on competitive criteria, which may be distinct from those retained by other stakeholders in the divestiture process149.</w:t>
        <w:br/>
        <w:t>349. Furthermore, depending on changes in market structure, for example due to the entry or exit of competing operators after the procedures overseen by the commercial court, it may be necessary for the parties to demonstrate that no alternative offer could have emerged between the day the notified operation was sufficiently advanced to be subject to notification and the day the Authority adopts its decision regarding the notified operation. Indeed, generally, in matters of concentration control, the competitive analysis conducted by the Authority must take into account changes in market structure, whether they are observed during the investigation or anticipated, as long as they are sufficiently certain150. Similarly, within the framework of the failing firm, the Authority must logically take into account changes in market structure in its analysis.</w:t>
        <w:br/>
        <w:t>350. In this regard, it is interesting to note that when assessing the existence of an alternative offer, the European Commission ensures, during its investigation of the operation, and thus after the agreement between the seller and the buyer on the realization of the operation, that no operator is interested in acquiring the target. It thus goes beyond the officially submitted offers in the judicial procedures. To do this, it may directly contact competitors to ascertain their intentions151, well after the date on which the notified operation was considered.</w:t>
        <w:br/>
        <w:t>b) Assessment of alternative offers</w:t>
        <w:br/>
        <w:t>351. Regarding the assessment of alternative offers, in order to be considered by the Authority, the alternative offer must present the following characteristics152:</w:t>
        <w:br/>
        <w:t>- be credible;</w:t>
        <w:br/>
        <w:t>- cover the entire scope of the acquisition or a substantial part of this scope;</w:t>
        <w:br/>
        <w:t>- be less harmful to competition than that of the parties.</w:t>
        <w:br/>
        <w:t>352. The Competition Authority conducts an independent analysis, specific to each case, of the maturity of the offers and their impact on competition.</w:t>
        <w:br/>
        <w:t>353. The Authority does not only take into account equivalent offers. It may also consider a lower bid, provided that it covers the entire scope of the acquisition or a substantial part of it153. Thus, in its judgment of February 6, 2004, in the Seb/Moulinex case, the Council of State specified that the alternative offer must cover "the entirety or a substantial part of the company" concerned.</w:t>
        <w:br/>
        <w:t>354. Furthermore, to be considered a credible alternative offer, an offer does not necessarily have to have the same degree of maturity as the offer presented by the parties154. In particular, the submission of an offer before the commercial court within the framework of a formal takeover procedure cannot be considered either a necessary criterion or a sufficient criterion for an offer to be deemed credible within the meaning of the second applicability criterion of the failing firm exception155.</w:t>
        <w:br/>
        <w:t>3. THE LESS HARMFUL NATURE OF THE OPERATION COMPARED TO A SCENARIO OF DISAPPEARANCE OF THE TARGET ACTIVITY (CRITERION NO. 3)</w:t>
        <w:br/>
        <w:t>355. The third criterion must be examined in the event that the first two criteria are met. It continues the analysis of the causal link between the operation and the deterioration of the competitive situation in the market, by comparing the effects on competition of the notified operation and those of the various conceivable scenarios in the event that it does not take place. At the level of European case law, the Court of Justice refers to</w:t>
      </w:r>
    </w:p>
    <w:p>
      <w:r>
        <w:rPr>
          <w:b/>
        </w:rPr>
        <w:t>[Pages 76–78]</w:t>
      </w:r>
    </w:p>
    <w:p>
      <w:r>
        <w:t>3,</w:t>
        <w:br/>
        <w:t>COMP/M. 6796 – Aegean / Olympic II.</w:t>
        <w:br/>
        <w:t>152 Guidelines, para. 792.</w:t>
        <w:br/>
        <w:t>153 Guidelines, para. 795.</w:t>
        <w:br/>
        <w:t>154 Decision 18-DCC-95 of June 14, 2018, regarding the exclusive control of part of the ambient prepared dishes pole of the Agripole group by the company Financière Cofigeo.</w:t>
        <w:br/>
        <w:t>155 Ibid.</w:t>
        <w:br/>
        <w:t>75</w:t>
      </w:r>
    </w:p>
    <w:p>
      <w:r>
        <w:t>to "neutrality" for the competition game (point 116, judgment CJCE Kali &amp; Salz156). In France, the practice refers to "neutrality for the consumer," as evidenced by the expression included in the guidelines157.</w:t>
      </w:r>
    </w:p>
    <w:p>
      <w:r>
        <w:t>356. In other words, this criterion allows for the comparison of the specific effects of the operation to the spontaneous dynamics of the market, within a broader framework than the analysis of the second criterion, as emerges from the aforementioned CJCE judgment Kali &amp; Salz: "In fact, the introduction of this criterion aims to ensure that the existence of a causal link between the concentration and the deterioration of the competitive structure of the market can only be excluded if the deterioration of the competitive structure, following the concentration operation, would occur similarly even in the absence of this operation."158</w:t>
      </w:r>
    </w:p>
    <w:p>
      <w:r>
        <w:t>357. The Commission's guidelines specify that this third criterion is particularly met when it is demonstrated that the disappearance of the target assets was inevitable159. The Authority's guidelines, reiterating the judgment of the Conseil d'État Seb/Moulinex mentioned above, specify that it is necessary to ensure more broadly that the disappearance of the distressed company (in its configuration prior to the operation) is not less detrimental to the consumer than the notified operation160. In this latter hypothesis, the third criterion therefore relies on the analysis of credible counterfactual scenarios in the event of non-realization of the concentration. In particular, if offers have been dismissed under the second criterion due to their lack of credibility or their partial nature, they may be taken into account at the stage of this third criterion.</w:t>
      </w:r>
    </w:p>
    <w:p>
      <w:r>
        <w:t>358. Regarding the different scenarios that may be considered in the event that the proposed operation does not take place, the Conseil d'État indeed specifies that, in this context, scenarios involving the acquisition of only certain assets of the target company may be taken into account: "Considering, furthermore, that in estimating that a potential acquisition of the brands held by the company Moulinex, without the acquisition of industrial assets, did not modify the analysis, the minister overlooked the possibilities offered by such an acquisition to an operator wishing to enter the French market for small household appliances, on which, according to the minister himself, the main barrier to entry was constituted by the brands."161</w:t>
      </w:r>
    </w:p>
    <w:p>
      <w:r>
        <w:t>359. The Authority may also assess the effects of the exit from the market of all or part of the target company's assets. In particular, it may seek to determine whether the strengthening of the acquirer's position would not have resulted from the simple absorption of the target company's market shares once it exited the market162. For example, in its opinion No. 02-A-15 of December 23, 2002, the Competition Council examined various prospective scenarios to determine whether the acquisition of the company ORP by the company ASD was less detrimental than its disappearance for competition and consumers. It emerged from this analysis that the disappearance of the company ORP "would be as detrimental to the functioning of competition as its acquisition by ASD," and the Competition Council consequently considered the third criterion as fulfilled, a position that was reiterated by the Minister in his authorization decision.</w:t>
      </w:r>
    </w:p>
    <w:p>
      <w:r>
        <w:t>360. The analysis of the third criterion for the applicability of the failing firm exception thus consists of identifying credible alternative counterfactual scenarios in the event of non-realization of the notified operation. On this basis, the Authority analyzes the effects of these scenarios on the market structure. The results of this analysis are finally compared to the results of the competitive analysis of the notified operation163.</w:t>
      </w:r>
    </w:p>
    <w:p>
      <w:r>
        <w:t>361. For this third criterion to be satisfied, it is therefore necessary to demonstrate that none of the alternative scenarios would lead to a more favorable competitive situation than that which would result from the notified operation.</w:t>
      </w:r>
    </w:p>
    <w:p>
      <w:r>
        <w:t>B. POSITION OF THE NOTIFYING PARTY</w:t>
        <w:br/>
        <w:t>1. ON THE RISK OF RAPID DISAPPEARANCE OF THE TARGET COMPANY IN THE ABSENCE OF THE OPERATION</w:t>
        <w:br/>
        <w:t>362. The notifying party specifies that the target, Conforama France, has been facing significant financial difficulties since 2017 following revelations of irregularities in the accounts of its ultimate shareholder, Steinhoff International Holdings. Since then, Conforama France has been subject to various legal proceedings between 2017 and 2019 [...] which led to restructuring operations, such as the implementation of a significant employment safeguard plan ("PSE") adopted in February 2020, the closure of more than thirty points of sale, and the sale of certain assets of the group164. These restructuring operations were intended to allow Conforama France to regain some profitability.</w:t>
      </w:r>
    </w:p>
    <w:p>
      <w:r>
        <w:t>363. The financial difficulties of Conforama were exacerbated during the year 2020, first by the "yellow vests" movement and then by the health crisis related to Covid-19, with the administrative closure of all its stores in France and abroad. In April/May 2020, Conforama France owed more than [...] euros to its suppliers and had only a few weeks of cash165. Thus, the financial fragility of Conforama France and the lack of support from its shareholders prevented it from obtaining the state-guaranteed loan ("PGE") from its main banks, making it impossible to pay its suppliers and blocking the reopening of its points of sale.</w:t>
      </w:r>
    </w:p>
    <w:p>
      <w:r>
        <w:t>364. In this context, a new procedure [...] was opened by the president of the commercial court of Bobigny by order of May 19, 2020, under the auspices of the Interministerial Committee for Industrial Restructuring (hereinafter "CIRI"), in order to obtain a PGE from the banks and, according to the notifying party, "to avoid the cessation of the company's activity and the cessation of payments"166.</w:t>
      </w:r>
    </w:p>
    <w:p>
      <w:r>
        <w:t>365. […].</w:t>
      </w:r>
    </w:p>
    <w:p>
      <w:r>
        <w:t>366. […].</w:t>
      </w:r>
    </w:p>
    <w:p>
      <w:r>
        <w:t>367. Therefore, the notifying party considers that the said company was facing difficulties that risked leading to its rapid disappearance in the absence of a takeover. It therefore considers that the first condition should be regarded as satisfied.</w:t>
      </w:r>
    </w:p>
    <w:p>
      <w:r>
        <w:t>2. ON THE ABSENCE OF LESS DETRIMENTAL ALTERNATIVE OFFER FOR COMPETITION, CONCERNING ALL OR A SUBSTANTIAL PART OF THE COMPANY</w:t>
        <w:br/>
        <w:t>368. The notifying party considers that the second criterion should be analyzed at the date of the derogation and not at the date of the decision.</w:t>
      </w:r>
    </w:p>
    <w:p>
      <w:r>
        <w:t>369. Thus, according to the notifying party, no acquirer, except for Mobilux, voluntarily came forward to acquire all or part of Conforama France. Yet the economic difficulties of Conforama France were known and widely documented, having even been the subject, according to the notifying party, of a "financial scandal"167. Furthermore, the notifying party notes that the press widely reported the financial difficulties faced by Conforama France following the accounting irregularities of its shareholder, with the first articles highlighting these difficulties published in 2018, as well as those related to the health crisis of Covid-19. For example, in 2020, Le Parisien headlined: "Conforama on the brink of bankruptcy, But returns as a white knight"168. It argues that the criterion of publicity of the company's difficulties would therefore be fulfilled in this case, as competing companies of Conforama France were aware of its difficulties. Thus, despite the publicity of the target's difficulties and the intervention of the CIRI, no takeover offer, other than that of Mobilux, concerning all or a substantial part of the activity of Conforama France was proposed.</w:t>
      </w:r>
    </w:p>
    <w:p>
      <w:r>
        <w:t>370. Finally, the notifying party specifies that this absence of acquirer is linked to the structure and context of the retail market for furniture products. Indeed, this sector has been facing significant difficulties for several years, as evidenced, for example, by the judicial recovery of the Alinéa brand in 2020169.</w:t>
      </w:r>
    </w:p>
    <w:p>
      <w:r>
        <w:t>371. Ultimately, Mobilux considers that since no takeover offer was presented as of the date of the derogation, the condition regarding the absence of a less detrimental offer for competition is, therefore, satisfied.</w:t>
        <w:br/>
        <w:t>166 Reference 1058.</w:t>
        <w:br/>
        <w:t>167 Reference 9156.</w:t>
        <w:br/>
        <w:t>168 Reference 9156.</w:t>
        <w:br/>
        <w:t>169 For example, the Alinéa brand was placed in judicial recovery on May 13, 2020, by the Marseille Commercial Court and was ultimately taken over by its former shareholders through a transfer plan established on September 14, 2020, which did not allow for the saving of all the brand's stores (References 9156 and 9157).</w:t>
      </w:r>
    </w:p>
    <w:p>
      <w:r>
        <w:rPr>
          <w:b/>
        </w:rPr>
        <w:t>[Pages 79–81]</w:t>
      </w:r>
    </w:p>
    <w:p>
      <w:r>
        <w:t>3. ON THE LESS HARMFUL NATURE OF THE OPERATION COMPARED TO A SCENARIO OF DISAPPEARANCE OF THE TARGET ACTIVITY</w:t>
        <w:br/>
        <w:t>a) Preliminary remarks</w:t>
        <w:br/>
        <w:t>372. The notifying party raises several methodological remarks regarding how the third criterion should be assessed. These remarks are addressed below.</w:t>
      </w:r>
    </w:p>
    <w:p>
      <w:r>
        <w:t>On the assessment of criterion No. 3 in relation to the scope of Conforama France</w:t>
        <w:br/>
        <w:t>373. According to the notifying party, the analysis of the third criterion can only be assessed globally. In other words, the notifying party argues that this criterion should be evaluated at the level of the scope of Conforama France, taken as a whole.</w:t>
        <w:br/>
        <w:t>374. In support of this position, the notifying party specifies that, in its view, the three criteria of the failing firm doctrine pursue the same objective and must therefore be assessed consistently. This imperative of consistent application of the three criteria implies, according to it, an assessment at the boundaries of the target's scope. Indeed, the notifying party initially considers that "the relevant texts, as well as the practice of the European Commission and the Competition Authority, clearly indicate that any assessment of the first two conditions for the application of the failing firm doctrine can only be made at the scale of the acquired company (in this case, Conforama France)."170 Secondly, it argues that "a consistent application of the three conditions for the application of this doctrine, which alone can determine whether there is a causal link between the concentration operation and the deterioration of the competitive structure, requires, within the framework of the third condition, identifying a unique counterfactual scenario applicable to the boundaries of the target."171</w:t>
        <w:br/>
        <w:t>375. The notifying party believes that only an assessment of the third condition at the same scale as the first two, that is to say at the scale of the target, allows for a rigorous analysis of the absence of a causal link between the concentration operation and any potential competitive deterioration in the market. Indeed, it considers that the three conditions of the failing firm doctrine all pursue the same objective, namely to determine whether there is a causal link between the potential realization of the contemplated operation and the deterioration of competition that could follow. This requirement for consistency would necessitate choosing a unique counterfactual scenario applicable to all points of sale. It particularly argues that if a point of sale is part of a target considered to be in difficulty and therefore likely to exit the market in the absence of a takeover under the first condition, and it does not constitute a substantial part of the target scope that has been the subject of an alternative takeover offer under the second condition, there would be no justification for the Authority to take into account, for the application of the third criterion, a counterfactual scenario specific to this point of sale, to estimate, for example, that it might not be likely to disappear or be the subject of an alternative takeover offer.</w:t>
        <w:br/>
        <w:t>376. In conclusion, the notifying party argues that the analysis of the third criterion would require choosing a unique counterfactual scenario applicable to all points of sale.</w:t>
        <w:br/>
        <w:t>170 Reference 25049.</w:t>
        <w:br/>
        <w:t>171 Reference 25049.</w:t>
      </w:r>
    </w:p>
    <w:p>
      <w:r>
        <w:t>On the inevitable disappearance of market assets as a unique counterfactual scenario, in the absence of a takeover</w:t>
        <w:br/>
        <w:t>377. The notifying party considers that "while it is true that the Authority's Guidelines require, under the third criterion of the failing firm doctrine, that it be demonstrated that 'the disappearance of the distressed company would not be less harmful to consumers than the proposed takeover,'" the Commission's guidelines adopt a slightly different criterion: "Thirdly, if the concentration were not carried out, the assets of the failing company would inevitably disappear from the market."172 The notifying party therefore concludes, relying on the decision-making practice of the Commission, that it would suffice for the third criterion of the failing firm doctrine to be fulfilled if it is generally demonstrated that, in the absence of the realization of the proposed concentration, the assets of the failing company would inevitably disappear from the market. It adds that the criterion of asset disappearance is, moreover, the only one that can be validly applied. Indeed, except in the very particular case of a duopoly market, it would be strictly impossible, in practice, to demonstrate that in the absence of a concentration realization, and therefore in the event of the target's disappearance, the entirety of the market shares held by the acquired company would (in any event) have been transferred to the acquirer. This demonstration being impossible in most cases, it would therefore be logical for the Commission not to retain this criterion.</w:t>
        <w:br/>
        <w:t>378. Consequently, the notifying party considers that it is sufficient for the third criterion of the failing firm doctrine to be fulfilled to demonstrate that, in the absence of the realization of the proposed concentration, the assets of the failing company would inevitably disappear from the market.</w:t>
      </w:r>
    </w:p>
    <w:p>
      <w:r>
        <w:t>On the date on which the Authority should assess for the analysis of criterion No. 3</w:t>
        <w:br/>
        <w:t>379. The notifying party considers that the third condition of the failing firm doctrine, concerning operations that have been granted an exemption from the suspensive nature of concentration control, must necessarily be assessed at the date of the realization of the operation permitted by this exemption and that the assessment cannot be conducted at the date on which the Authority rules on the operation that has been notified to it.</w:t>
        <w:br/>
        <w:t>380. Indeed, according to the notifying party, the identification of a counterfactual scenario "in the event of non-realization of the concentration" requires, when the operation has already been realized, to consider a situation where it would not have been realized, that is to say to "go back" to the date on which it was realized in order to precisely assess what would have happened to the assets of the target company at that date, in the absence of a takeover.</w:t>
        <w:br/>
        <w:t>381. Thus, the Authority should not take into account, for the third criterion, any potential partial takeover offers that may be made after the realization of the operation under the exemption regime, in a context where the target company has since been taken over, saved from bankruptcy, and restructured, that is to say in a context where the company is simply no longer in difficulty. In this sense, according to the notifying party, the situation of the target assets would be radically different since their takeover, given the funding provided and obtained by the notifying party to allow the continuation of Conforama's activity and the reopening of its points of sale.</w:t>
        <w:br/>
        <w:t>382. Consequently, the notifying party considers that the third criterion must be assessed at the date of the realization of the operation permitted by the exemption.</w:t>
        <w:br/>
        <w:t>172 Reference 25057.</w:t>
      </w:r>
    </w:p>
    <w:p>
      <w:r>
        <w:t>On the analysis of criterion No. 3 in markets where the operation does not raise competition issues</w:t>
        <w:br/>
        <w:t>383. According to the notifying party, the Authority could not, in the context of the competitive assessment it must conduct under the third condition, simply examine the effects of each scenario in light of each market taken in isolation and, above all, only consider the markets on which the operation raises competition difficulties. Indeed, it considers that this would amount to integrating into the competitive assessment only a part of the effects that may exist in the counterfactual scenarios, and thus, artificially skewing the competitive assessment of the operation by underestimating the negative impact of the absence of a takeover on the structure of the relevant markets and, even more so, on consumer welfare.</w:t>
        <w:br/>
        <w:t>384. The notifying party therefore considers that the analysis of the competitive assessment must take into account the favorable and unfavorable effects of each scenario, across all relevant markets affected by the operation, and not only those where the operation raises competition difficulties.</w:t>
      </w:r>
    </w:p>
    <w:p>
      <w:r>
        <w:t>b) Analysis of the different scenarios</w:t>
        <w:br/>
        <w:t>385. In light of the various arguments presented above, the notifying party considers that there is no doubt that in the absence of a takeover of Conforama France by Mobilux, the assets held by Conforama France would not have been taken over and would therefore have disappeared from the market.</w:t>
        <w:br/>
        <w:t>386. It further specifies that even assuming that an analysis at the level of each local market or each point of sale is feasible, the mere observation that in the absence of a takeover, the assets of the failing company (in this case, the points of sale and the brand) would inevitably disappear from the market would suffice to justify the application of the failing firm doctrine (without the need to conduct a detailed competitive analysis, analyzing the effect of the disappearance of each point of sale on each relevant local market).</w:t>
        <w:br/>
        <w:t>387. Nevertheless, it develops two counterfactual scenarios for the analysis of the third condition of the failing firm exception. The first scenario, the only one sufficiently credible, according to the notifying party, envisions the disappearance of all of Conforama's assets from the market. The second scenario, which it analyzes as a subsidiary, is based on the hypothesis of the takeover of only certain assets of Conforama.173 It considers that the competitive assessment is, regardless of the scenario chosen, favorable to the operation.</w:t>
      </w:r>
    </w:p>
    <w:p>
      <w:r>
        <w:t>On upstream markets</w:t>
        <w:br/>
        <w:t xml:space="preserve">388. Regarding the first scenario, the notifying party considers that the disappearance of Conforama's assets would have had negative consequences for the entire furniture supply chain and, in particular, for suppliers of bedding products. Indeed, in the absence of the contemplated operation and the takeover of Conforama by Mobilux, Conforama's supplier debts would not have been paid. Thus, the absence of a takeover would have led to the bankruptcy of several medium-sized furniture manufacturers. In other words, account must be taken of the fact that </w:t>
        <w:br/>
        <w:t>173 In this second scenario, the notifying party assumes that the number of points of sale taken over and retained in the market would be between one and 60 points of sale (this threshold corresponds to approximately 35% of the points of sale).</w:t>
      </w:r>
    </w:p>
    <w:p>
      <w:r>
        <w:rPr>
          <w:b/>
        </w:rPr>
        <w:t>[Pages 82–84]</w:t>
      </w:r>
    </w:p>
    <w:p>
      <w:r>
        <w:t>held due to the structural weaknesses of the sector, the default of Conforama on its supplier debts would have had a major impact on the furniture industry. If medium-sized enterprises (ETIs) had been threatened, the situation of the smaller suppliers would have been even more precarious. Thus, the default of Conforama would have led to a cascade of bankruptcies, which explains the intervention of the CIRI during the negotiations between Mobilux and Conforama.</w:t>
      </w:r>
    </w:p>
    <w:p>
      <w:r>
        <w:t>Regarding the suppliers of bedding products, the notifying party considers that the position of the investigating services, according to which the new entity would become the main buyer of bedding products in France, leads to the conclusion that this market would shift from a quasi-duopoly to a quasi-monopoly. Following this position, the suppliers of bedding products would have no choice but to redirect their sales to But. In this case, the risk of economic dependence would not have been lower in a counterfactual scenario of the absence of the notified operation than in the presence of such an operation. The notifying party thus considers that the disappearance of Conforama would therefore not be less detrimental to consumers than its takeover by But.</w:t>
      </w:r>
    </w:p>
    <w:p>
      <w:r>
        <w:t>389. Furthermore, the greater concentration of the upstream market, resulting from the bankruptcies of manufacturers, would have resulted in a reduction in the diversity and quantity of the furniture supply (since, by hypothesis, a large number of suppliers would have disappeared) and a risk of price increases for furniture sold to distributors, which would have been a likely consequence of a higher concentration of the market. Given the difficulties in the furniture distribution sector, there is no doubt that distributors would have had no choice but to pass on such a price increase to final consumers. Moreover, the competitiveness of the remaining suppliers could have deteriorated. Indeed, their outlets would have contracted, and even if Conforama's suppliers could have turned to other players, primarily But, the volumes sold would necessarily have decreased.</w:t>
      </w:r>
    </w:p>
    <w:p>
      <w:r>
        <w:t>390. Finally, even if only part of the assets had been taken over, the supplier debts would not have been paid (since, by hypothesis, Conforama's assets would have been purchased in a liquidation process that inherently excludes the takeover of liabilities). Thus, all the consequences described above would have occurred, and the situation in the upstream market would have been significantly less favorable than in the presence of the operation (cascade bankruptcies, increased concentration in the upstream market leading to a decrease in the diversity of supply and an increase in prices, necessarily passed on to consumers).</w:t>
      </w:r>
    </w:p>
    <w:p>
      <w:r>
        <w:t>On the downstream markets</w:t>
      </w:r>
    </w:p>
    <w:p>
      <w:r>
        <w:t>391. The notifying party also considers that the disappearance of Conforama would have had negative consequences on the downstream markets for the retail distribution of furniture products, bazaar and decoration products, and household appliances. As mentioned above, the furniture sector would have been heavily affected by Conforama's default on its supplier debts, which would have led to a reduction in the number of suppliers present, and therefore, necessarily, downstream, a decrease in the diversity of available products as well as an increase in their selling prices, whether online or in physical stores.</w:t>
      </w:r>
    </w:p>
    <w:p>
      <w:r>
        <w:t>392. Moreover, the supply of distribution services would have been significantly degraded and reduced, since some consumers stated that in the event of Conforama's disappearance, they would stop buying the affected product families, evidence that consumers are attached to the Conforama brand. Thus, according to the notifying party, the takeover by Mobilux would directly improve consumer welfare. Furthermore, all Conforama stores in mainland France would have disappeared, which would have imposed longer trips on consumers, either to buy products or to physically collect furniture when opting for a "click and collect" purchase. Finally, in the event of Conforama's disappearance, there would have been a risk of price increases in the downstream market, in addition to the price increases resulting from the deterioration of the competitive situation in the upstream market.</w:t>
      </w:r>
    </w:p>
    <w:p>
      <w:r>
        <w:t>393. Even if some assets had been taken over, the assumptions of the takeover would also have been marked by large-scale negative effects, even if these would, by definition, have been slightly mitigated in this second scenario. Thus, the increase in furniture prices and the reduction in the supply of sold furniture, which would result from the consequences in the upstream market, would remain unchanged. The reduction in the supply of retail distribution services would have largely persisted, and the takeover of at most 60 stores would imply the disappearance of Conforama in all other catchment areas, that is to say, in the vast majority of the affected catchment areas. Consumers would lose an alternative and see the quality of the available offer significantly diminished (with some consumers stopping purchasing the affected product categories). Moreover, there is nothing to indicate that the takeovers of stores could concern the catchment areas in which the investigating services identified a risk of harm to competition. In these areas, in the absence of the implementation of the operation, the disappearance of Conforama would therefore remain possible, with the consequences described above. The impact on prices identified above would therefore continue to apply in the 110 areas not affected by an asset takeover.</w:t>
      </w:r>
    </w:p>
    <w:p>
      <w:r>
        <w:t>On the franchisees in the DROM</w:t>
      </w:r>
    </w:p>
    <w:p>
      <w:r>
        <w:t>394. Regarding the consequences for the franchisees located in the DROM of Conforama's disappearance as a franchisor, the notifying party considers that assuming the Authority adopts the position of the investigating services according to which the new entity would become the main franchisor in the DROM following the operation, then the franchisees would have no choice but to turn to the But brand to maintain the operation of their sales areas. It would therefore be likely that the target's market shares would revert to the notifying party. In this scenario, the franchisees would thus face a unique offer as if the operation were carried out, so that the operation would not be the cause of the deterioration of the competitive situation in the market. Thus, according to the notifying party, the disappearance of Conforama would not be less detrimental to consumers than its takeover by But.</w:t>
      </w:r>
    </w:p>
    <w:p>
      <w:r>
        <w:t>395. In conclusion, for all the reasons set out above and regardless of the scenario retained, the consequences would be more negative in the absence of the notified operation than in the event of its implementation. The notifying party therefore considers the third criterion fulfilled for each of the markets concerned by the operation. Thus, all criteria being met, the failing firm exception would apply in this case.</w:t>
      </w:r>
    </w:p>
    <w:p>
      <w:r>
        <w:t>C. APPLICATION TO THE CASE AT HAND</w:t>
      </w:r>
    </w:p>
    <w:p>
      <w:r>
        <w:t>1. ON THE RISK OF RAPID DISAPPEARANCE OF THE TARGET COMPANY IN THE ABSENCE OF THE OPERATION</w:t>
      </w:r>
    </w:p>
    <w:p>
      <w:r>
        <w:t>396. It emerges from the elements provided by the notifying party that Conforama France was no longer able to pay its suppliers in the spring of 2020, which prevented it from reopening most of its stores after the first lockdown, Conforama France having only "a few weeks of cash flow" left. The significant financial difficulties also prevented it from implementing the redundancy plan aimed at restructuring its activities. The inability of Conforama France to obtain bank financing, which was necessary for the continuation of its activity, reflects the great difficulties it was facing. These difficulties led to the opening of judicial conciliation. The order opening the judicial conciliation specifies that its objective is " [...] ".</w:t>
      </w:r>
    </w:p>
    <w:p>
      <w:r>
        <w:t>397. Only the takeover by the Mobilux group allowed Conforama France to obtain the necessary financing to continue its activity. This financing came both from the Mobilux group and from a state-guaranteed loan. Thus, in the absence of such a takeover, the target would have quickly found itself in a state of cessation of payments.</w:t>
      </w:r>
    </w:p>
    <w:p>
      <w:r>
        <w:t>398. The Authority thus considers that, even if the target was not, at the time of its takeover by Mobilux, in a state of cessation of payments, the absence of such a takeover would have made it impossible to continue the target's activity.</w:t>
      </w:r>
    </w:p>
    <w:p>
      <w:r>
        <w:t>399. In light of the elements provided by the notifying party, the Authority considers that the first criterion for the applicability of the failing firm exception identified by decision-making practice is therefore fulfilled.</w:t>
      </w:r>
    </w:p>
    <w:p>
      <w:r>
        <w:t>2. ON THE ABSENCE OF LESS HARMFUL ALTERNATIVE OFFER FOR COMPETITION, CONCERNING THE WHOLE OR A SUBSTANTIAL PART OF THE COMPANY</w:t>
      </w:r>
    </w:p>
    <w:p>
      <w:r>
        <w:t>400. The analysis of the second criterion for the applicability of the failing firm exception, as established by the case law of the Conseil d'État, mainly relies on the assessment of the existence of alternative offers to that of the notifying party and, regarding the identified alternative offers, on their adequacy.</w:t>
      </w:r>
    </w:p>
    <w:p>
      <w:r>
        <w:t>401. In this case, it is necessary to partially analyze the second criterion in light of the first. Indeed, the context of the sale mentioned at the stage of the examination of the first criterion helps to clarify the situation of Conforama France with respect to the second criterion, namely the publicity of the candidate search procedure and the absence of alternative offers proposed.</w:t>
      </w:r>
    </w:p>
    <w:p>
      <w:r>
        <w:t>a) On the publicity of the candidate search procedure</w:t>
      </w:r>
    </w:p>
    <w:p>
      <w:r>
        <w:t>402. The notifying party must demonstrate that the sale process guaranteed a certain level of publicity so that market players could express their interest in the takeover.</w:t>
      </w:r>
    </w:p>
    <w:p>
      <w:r>
        <w:t>403. In this case, the opening of a conciliation procedure does not, by itself, presuppose sufficient publicity regarding the sale of Conforama France. However, as the notifying party pointed out, the financial difficulties of Conforama France have</w:t>
      </w:r>
    </w:p>
    <w:p>
      <w:r>
        <w:rPr>
          <w:b/>
        </w:rPr>
        <w:t>[Pages 85–87]</w:t>
      </w:r>
    </w:p>
    <w:p>
      <w:r>
        <w:t>403. In this case, the opening of a conciliation procedure does not, by itself, allow for a presumption of sufficient publicity regarding the sale of Conforma France. However, as the notifying party pointed out, the financial difficulties of Conforama France have received significant publicity through the press, which has at least informed potential candidates for a takeover.</w:t>
      </w:r>
    </w:p>
    <w:p>
      <w:r>
        <w:t>404. Indeed, more than a dozen articles were published in the national press between April and May 2020 regarding the financial difficulties of Conforama France. For example, Le Monde titled on May 17, 2020, "The future of Conforama suspended to obtaining a state-guaranteed loan" and Ouest France on May 19, 2020, "Coronavirus: Conforama about to file for bankruptcy."</w:t>
      </w:r>
    </w:p>
    <w:p>
      <w:r>
        <w:t>405. Consequently, the Authority considers that the publicity regarding the difficulties of Conforama France was sufficient, as it reasonably allowed potential buyers to position themselves if necessary.</w:t>
      </w:r>
    </w:p>
    <w:p>
      <w:r>
        <w:t>b) On the absence of an alternative offer</w:t>
      </w:r>
    </w:p>
    <w:p>
      <w:r>
        <w:t>406. As indicated above, the notifying party stated that no other offer was proposed except for that of Mobilux.</w:t>
      </w:r>
    </w:p>
    <w:p>
      <w:r>
        <w:t>407. The Authority considers that the difficulties encountered in the furniture sector explain this absence of an alternative candidate to the Mobilux group at the time of its takeover of Conforama. Indeed, several actors highlighted in their responses to the various market tests conducted during the investigation of the present operation that the French furniture sector has been experiencing a severe crisis for several years. Thus, Alinéa was placed in judicial recovery in 2020, and the Mobilier Européen group, which operated more than 200 stores under the brands Fly, Atlas, and Crozatier, was placed under safeguard proceedings in 2014 and was forced to sell or close all of its points of sale.</w:t>
      </w:r>
    </w:p>
    <w:p>
      <w:r>
        <w:t>408. Moreover, no new operator has entered the furniture sector in the last five years.</w:t>
      </w:r>
    </w:p>
    <w:p>
      <w:r>
        <w:t>409. Furthermore, it should be noted that Conforama France attempted to sell 32 points of sale during the year 2020 and ultimately had to close them due to the absence, precisely, of takeover offers.</w:t>
      </w:r>
    </w:p>
    <w:p>
      <w:r>
        <w:t>410. Finally, during the market tests, the various actors present in the market were asked whether they had considered taking over all or part of the assets of Conforama France or whether they were interested in such a takeover. Indeed, as mentioned above, the Authority takes into account all offers in its analysis, up to the date of this decision.</w:t>
      </w:r>
    </w:p>
    <w:p>
      <w:r>
        <w:t>411. All respondents indicated that they were not interested in taking over all or part of the assets of Conforama when they were put up for sale. 5 of the 31 respondents, however, indicated that they might be interested in purchasing points of sale. However, with the exception of one respondent, none of the others specified the points of sale that might interest them, so the potential intention to take over unidentified assets cannot be considered credible in the sense of the second criterion. As for the only respondent who identified the points of sale, they indicated that they might be interested in taking over 48 points of sale. In any case, this takeover cannot be considered as representing a substantial part of the assets of Conforama France. Indeed, the target assets consist of 170 points of sale, so the mere takeover of less than one-third of the assets does not represent a substantial part of the assets of Conforama France. The offers from these operators will, however, be included in the analysis of the third criterion.</w:t>
      </w:r>
    </w:p>
    <w:p>
      <w:r>
        <w:t>412. In light of these elements, the Authority considers that, to date, there is no alternative offer to that of Mobilux that is less damaging to the takeover of the assets of Conforama France concerning all or a substantial part of them. The Authority therefore considers that the second criterion for the applicability of the failing firm exception identified by decision-making practice is met.</w:t>
      </w:r>
    </w:p>
    <w:p>
      <w:r>
        <w:t>3. ON THE LESS DAMAGING NATURE OF THE OPERATION COMPARED TO A SCENARIO OF DISAPPEARANCE OF THE TARGET ACTIVITY</w:t>
      </w:r>
    </w:p>
    <w:p>
      <w:r>
        <w:t>413. As a reminder, the third criterion allows for a comparison of the specific effects of the operation with the spontaneous dynamics of the market, within a broader framework than the analysis of the second criterion. The analysis of this criterion is carried out by comparing the competitive effects of the notified operation and those of the various conceivable scenarios in the event that it does not take place.</w:t>
      </w:r>
    </w:p>
    <w:p>
      <w:r>
        <w:t>a) Clarifications from the Authority on the remarks of the notifying party</w:t>
      </w:r>
    </w:p>
    <w:p>
      <w:r>
        <w:t>On the assessment of criterion no. 3 in relation to the scope of the company Conforama France</w:t>
      </w:r>
    </w:p>
    <w:p>
      <w:r>
        <w:t>414. The notifying party considers that the third criterion should be analyzed at the level of the target, in the same way as the first two criteria, so that the analysis should not take into account the market boundaries retained by decision-making practice. In other words, the effects of the failing firm theory would be analyzed independently of market definitions.</w:t>
      </w:r>
    </w:p>
    <w:p>
      <w:r>
        <w:t>415. The Authority does not share this analysis and considers that the analysis must be conducted at the level of each relevant problematic market.</w:t>
      </w:r>
    </w:p>
    <w:p>
      <w:r>
        <w:t>416. First, the failing firm theory is the last step in the reasoning of the assessment of a concentration operation, an assessment that is made at the level of each of the defined relevant markets, both in terms of product market and geographical market.</w:t>
      </w:r>
    </w:p>
    <w:p>
      <w:r>
        <w:t>417. Second, the criteria for the failing firm are cumulative. The analysis of the third criterion only occurs when the first two criteria are met, and its analysis is autonomous. Consequently, the fact that the first two conditions must necessarily be assessed at the level of the target does not prevent the last criterion from being assessed in each of the markets identified as problematic in the context of the competitive analysis.</w:t>
      </w:r>
    </w:p>
    <w:p>
      <w:r>
        <w:t>418. Third, the objective of this last criterion differs from the other two criteria as it aims to verify the existence of a causal link between, on the one hand, the concentration and, on the other hand, "the deterioration of the competitive structure of the market." It follows that this criterion aims to analyze the effects on the market in the event of non-realization of the operation, which is a different step in the reasoning from those of the other two criteria. As recalled above in paragraph 359, the Authority may seek to determine whether the strengthening of the acquirer's position would not have resulted from the simple absorption of the market shares of the target company once it has exited the market. In this context, in order to assess the</w:t>
      </w:r>
    </w:p>
    <w:p>
      <w:r>
        <w:rPr>
          <w:b/>
        </w:rPr>
        <w:t>[Pages 88–90]</w:t>
      </w:r>
    </w:p>
    <w:p>
      <w:r>
        <w:t>purchasing power of the acquirer in such a situation, the analysis of counterfactual scenarios must therefore be carried out on the relevant markets as defined by the Authority (the only definition capable of determining the existence of market power). Indeed, it should be noted that the appropriate definition of the market in question is a necessary and preliminary condition for any assessment of the competitive impact of a concentration operation183.</w:t>
      </w:r>
    </w:p>
    <w:p>
      <w:r>
        <w:t>419. Fourthly, it follows from the aforementioned Kali &amp; Salz decision that the Commission identified two distinct markets for potash for agricultural use based on their geographical dimension, in order to analyze the application of the failing firm exception: a first market for potash, comprising exclusively Germany, and a second, comprising the rest of the European countries excluding Germany. The Commission accepted the failing firm argument for the first market184 and for the second market, the Commission concluded that the proposed concentration operation would have created or strengthened a dominant position185. It follows that the analysis of counterfactual scenarios must be carried out on each of the defined markets.</w:t>
      </w:r>
    </w:p>
    <w:p>
      <w:r>
        <w:t>420. In this case, in addition to the competition issues identified in the upstream market for the supply of bedding products and concerning the franchisees of the parties in the DROM, the Authority identified competition issues in various local markets for the retail distribution of furniture, upholstered furniture, and bedding. The analysis must therefore be conducted on each of these markets.</w:t>
      </w:r>
    </w:p>
    <w:p>
      <w:r>
        <w:t>On the assessment of criterion No. 3 based solely on the inevitable disappearance of the target's assets</w:t>
      </w:r>
    </w:p>
    <w:p>
      <w:r>
        <w:t>421. The notifying party considers that demonstrating the disappearance of the target's assets is sufficient to show that the third criterion is met by referring to the Commission's guidelines and believes that only this criterion can be validly demonstrated.</w:t>
      </w:r>
    </w:p>
    <w:p>
      <w:r>
        <w:t>422. The Authority notes, as does the notifying party, that the Commission's guidelines refer to the disappearance of the target company's assets. In the Aegean/Olympic II186 decision, the Commission conducted its analysis regarding the third criterion by examining whether there were any acquirers for the various assets of the target (in this case, a brand, bilateral traffic rights with certain third countries, and leased aircraft).</w:t>
      </w:r>
    </w:p>
    <w:p>
      <w:r>
        <w:t>183 See point 143 of the aforementioned CJCE judgment Kali &amp; Salz.</w:t>
      </w:r>
    </w:p>
    <w:p>
      <w:r>
        <w:t>184 As can be seen from the following excerpt from the aforementioned judgment: "It follows that, with regard to this market, the said operation appears to satisfy the criterion mentioned in Article 2, paragraph 2, of the regulation, so that it could be declared compatible with the common market, without any modification being made. Consequently, contrary to what the French government claims, it cannot be required, without contradicting this premise, that, with regard to the German market, the Commission attach any conditions to its declaration of compatibility of the concentration operation." (point 124).</w:t>
      </w:r>
    </w:p>
    <w:p>
      <w:r>
        <w:t>185 It should be noted that this point was annulled by the Court, which led to the annulment of the Commission's decision in its entirety as it appeared that "the Commission has, in any event, not sufficiently established that the concentration operation would create a collective dominant position of K + S/MdK and SCPA that could constitute a significant impediment to effective competition in the relevant market" (point 249 of the aforementioned judgment).</w:t>
      </w:r>
    </w:p>
    <w:p>
      <w:r>
        <w:t>186 See the European Commission decision No. COMP/M.6796 Aegean/Olympic II dated October 9, 2004.</w:t>
      </w:r>
    </w:p>
    <w:p>
      <w:r>
        <w:t>423. However, the aforementioned 2004 judgment of the Council of State specifies that it is necessary to ensure that the disappearance of the distressed company (in its configuration prior to the operation) is not "less harmful to the consumer" than the notified operation187. In this sense, the Council of State assesses this criterion from the perspective of the consequences for the consumer and does not limit itself to the mere demonstration of the inevitable disappearance of the target assets as a condition for fulfilling the third criterion. It is therefore necessary to demonstrate the neutrality of the acquisition for the consumer, a criterion that can be assessed in various ways. The Authority's guidelines logically specify that this criterion is based on the analysis of credible counterfactual scenarios in the event of non-realization of the concentration, an analysis assessed from the perspective of the consequences for the consumer.</w:t>
      </w:r>
    </w:p>
    <w:p>
      <w:r>
        <w:t>424. Consequently, the Authority considers it necessary to demonstrate that the effects of the disappearance of the target assets in each of the markets where the Authority has identified a risk of harm to competition would not be less harmful to consumers than the proposed operation. Such a demonstration requires, first, demonstrating that the assets would inevitably have disappeared and, second, comparing the effects for the consumer of such disappearance with those of the proposed operation.</w:t>
      </w:r>
    </w:p>
    <w:p>
      <w:r>
        <w:t>Regarding the date for assessing criterion No. 3</w:t>
      </w:r>
    </w:p>
    <w:p>
      <w:r>
        <w:t>425. The notifying party considers that the assessment of this criterion should be made at the date of the completion of the operation (i.e., in September 2020) and not at the date of this decision.</w:t>
      </w:r>
    </w:p>
    <w:p>
      <w:r>
        <w:t>426. First, generally speaking, in matters of merger control, the competitive analysis carried out by the Authority must take into account changes in market structure, whether they are observed or anticipated, as long as they have a sufficiently certain character188.</w:t>
      </w:r>
    </w:p>
    <w:p>
      <w:r>
        <w:t>427. Secondly, the Council of State considers that the Authority must assess the facts as they exist at the date on which it rules189.</w:t>
      </w:r>
    </w:p>
    <w:p>
      <w:r>
        <w:t>428. Thirdly, in the context of the failing firm analysis, the Authority has previously decided to take into account all acquirers who have come forward during the procedure to assess the second criterion190. By analogy, the same reasoning can be applied to the third criterion.</w:t>
      </w:r>
    </w:p>
    <w:p>
      <w:r>
        <w:t>429. Therefore, the assessment of the third criterion must necessarily be made at the time of the examination conducted by the Authority (and this until the date of the decision).</w:t>
      </w:r>
    </w:p>
    <w:p>
      <w:r>
        <w:t>187 Council of State, judgment of February 6, 2004, cited.</w:t>
      </w:r>
    </w:p>
    <w:p>
      <w:r>
        <w:t>188 See paras. 448, 504, and 518 of the Authority's Guidelines and the Council of State decision of March 21, 2016, Numéricable – Groupe Canal Plus.</w:t>
      </w:r>
    </w:p>
    <w:p>
      <w:r>
        <w:t>189 See for example the CE decision of February 13, 2006, De Longhi SPA, No. 278796, in the Recueil and the conclusions of V. Daumas on CE, Assembly, December 21, 2012, Sté Groupe Canal Plus and others, No. 362347, in the Recueil.</w:t>
      </w:r>
    </w:p>
    <w:p>
      <w:r>
        <w:t>190 See for example, decision No. 18-DCC-95 of June 14, 2018, regarding the exclusive acquisition of part of the ambient prepared meals sector of the Agripole group by Financière Cofigeo.</w:t>
      </w:r>
    </w:p>
    <w:p>
      <w:r>
        <w:t>On the relevant markets where there are competition issues</w:t>
      </w:r>
    </w:p>
    <w:p>
      <w:r>
        <w:t>430. The Authority considers that the analysis of the different counterfactual scenarios for the third criterion must focus on each of the relevant markets where competition issues have been identified, namely:</w:t>
        <w:br/>
        <w:t>- the downstream markets for the distribution of bedding products, furniture, and upholstered furniture:</w:t>
        <w:br/>
        <w:t>- and the upstream market for the supply of bedding products.</w:t>
      </w:r>
    </w:p>
    <w:p>
      <w:r>
        <w:t>431. The analysis will also consider the situation of franchisees present in the DROM where competition risks have been identified.</w:t>
      </w:r>
    </w:p>
    <w:p>
      <w:r>
        <w:t>432. Regarding the downstream markets for the distribution of bedding products, furniture, and upholstered furniture, which are of a local dimension, it appears that a gain in a given local market cannot, from the consumer's perspective, compensate for a loss in another local market. Therefore, and contrary to what the notifying party argues191, the analysis must be conducted on each of these local markets, i.e., 56 local zones, as well as on the upstream market for the supply of bedding products and in the context of examining the situation of franchisees present in the DROM.</w:t>
      </w:r>
    </w:p>
    <w:p>
      <w:r>
        <w:t>b) Assessment of the criterion in each of the markets where the operation is likely to harm competition</w:t>
      </w:r>
    </w:p>
    <w:p>
      <w:r>
        <w:t>On the downstream markets for the distribution of bedding products, furniture, and upholstered furniture</w:t>
      </w:r>
    </w:p>
    <w:p>
      <w:r>
        <w:t>433. Firstly, in order to verify whether acquirers would have been interested in taking over the target's points of sale, a market test was sent to operators in the sector.</w:t>
      </w:r>
    </w:p>
    <w:p>
      <w:r>
        <w:t>434. It emerges from the responses to the market test specifically conducted on this question that eight respondents (out of 33 who responded) expressed interest. Among these eight respondents, five are DIY superstores that are not active in the product families where competition issues have been identified (bedding, furniture, and upholstered furniture). The remaining respondents do not wish to operate the points of sale for a distribution activity of furniture products. Indeed, one of the respondents wishes to operate food superstores. The other two are brands specialized in decoration and bazaar products. The Alinéa group, which had expressed interest in a previous market test, ultimately indicated in its response to this market test that it was not interested in taking over Conforama points of sale.</w:t>
      </w:r>
    </w:p>
    <w:p>
      <w:r>
        <w:t>435. Consequently, the extensive consultation conducted with all market players confirmed the absence of any expression of interest from operators active in the markets identified as problematic (i.e., furniture, upholstered, and bedding). Indeed, the only acquirers who expressed interest are the DIY superstores, grocery superstores, or decoration-bazaar brands that are not active in the relevant problematic markets.</w:t>
      </w:r>
    </w:p>
    <w:p>
      <w:r>
        <w:t>436. Therefore, in the absence of the operation, the target points of sale in the 56 identified zones would have disappeared.</w:t>
      </w:r>
    </w:p>
    <w:p>
      <w:r>
        <w:t>191 Butx believes that this criterion should be analyzed across all local downstream markets in general without conducting a local market-by-market analysis.</w:t>
      </w:r>
    </w:p>
    <w:p>
      <w:r>
        <w:rPr>
          <w:b/>
        </w:rPr>
        <w:t>[Pages 91–93]</w:t>
      </w:r>
    </w:p>
    <w:p>
      <w:r>
        <w:t>437. Secondly, regarding the requirement of neutrality established by the Conseil d'État in the Seb/Moulinex decision, it is necessary to compare the effects of this disappearance with those of a takeover by But for the consumer.</w:t>
      </w:r>
    </w:p>
    <w:p>
      <w:r>
        <w:t>438. The exit of assets from the market is likely to lead to two types of consequences for consumers. On the one hand, the disappearance of Conforama points of sale would have negative consequences on the diversity of the product offering by depriving consumers of an alternative brand, as well as its stores in the various identified local areas. Even if, as noted above, the offers provided by But and Conforama are very similar, some consumers have nonetheless indicated in response to various surveys conducted that in the event of price increases, they would continue to frequent this brand; others have even stated that in the event of the closure of the Conforama brand, they would stop purchasing the affected product families. These behaviors are indicative of the fact that some consumers are attached to the offering provided by Conforama and, consequently, that the disappearance of the brand's points of sale in the various local areas would lead to negative consequences on their ability to purchase. Furthermore, the closure of Conforama points of sale could also lead to an increase in consumers' travel time, even if this would be limited, given the geographical proximity of the points of sale of these two brands, as previously demonstrated. On the other hand, the disappearance of Conforama points of sale will also have the effect of reducing the competitive pressure exerted on the competitors of the brand in the various local areas and thus lead to price increases on their part. Given the absence of active buyers in the furniture categories identified as problematic in the various local areas as well as the importance highlighted above of barriers to entry into the market, it seems unlikely that the negative effects related to the reduction in supply could be quickly compensated.</w:t>
      </w:r>
    </w:p>
    <w:p>
      <w:r>
        <w:t>439. The disappearance of the assets in the absence of a takeover of Conforama is thus likely to generate very significant negative effects for consumers, which are highly likely to be at least as harmful as the realization of the present operation. Indeed, it should be considered that in the event of the operation being carried out, all or part of the negative consequences identified in terms of reduced diversity of supply could be avoided. Furthermore, there is no reason to consider, in this case, that the price increases that could result from the realization of the operation would be greater than those expected in the event of the disappearance of the target's assets. Thus, the Authority considers that the disappearance of the assets is no less harmful to the consumer than the notified operation.</w:t>
      </w:r>
    </w:p>
    <w:p>
      <w:r>
        <w:t>440. Consequently, the Authority considers the third criterion fulfilled in the market for the distribution of bedding products, furniture, and upholstered furniture.</w:t>
      </w:r>
    </w:p>
    <w:p>
      <w:r>
        <w:t>On the upstream market for the supply of bedding products</w:t>
      </w:r>
    </w:p>
    <w:p>
      <w:r>
        <w:t>441. Firstly, regarding the inevitable disappearance of the target's assets from the market, the market test confirmed the absence of an alternative buyer for bedding products as indicated above. Therefore, in the absence of the operation, the target would have disappeared as a buyer of bedding products.</w:t>
      </w:r>
    </w:p>
    <w:p>
      <w:r>
        <w:t>442. Secondly, regarding the requirement of neutrality, the Authority considers that the effects of this disappearance for the consumer are no less harmful than the takeover. Indeed, as indicated by the notifying party, the disappearance of Conforama France would have put certain suppliers of furniture products in great difficulty. The majority of suppliers of furniture products are, moreover, in favor of the operation, as they believe that "this industrial project allows for the creation of a French leader in furniture with a solid shareholder from the same sector" and that the operation ensures the survival of Conforama France and avoids putting certain suppliers in difficulty. The French Furniture Syndicate indicated that "the concentration of distributors was preferable to a bankruptcy of the Conforama brand due to the very significant debts of French manufacturers to Conforama. Indeed, if these were not honored, several SMEs would have directly gone out of business." In particular, regarding suppliers of bedding products, one supplier indicated during the market test that they considered the operation would have favorable consequences for their business, specifying, as previously indicated, that the operation allowed for the creation of "a French leader" with a "solid shareholder." Another supplier believes that the operation will allow for the "survival of Conforama and its ability to invest to relaunch the activity." The difficulties faced by certain bedding suppliers due to the disappearance of the target assets would have reduced the available supply of products for furniture brands and ultimately reduced consumer choice.</w:t>
      </w:r>
    </w:p>
    <w:p>
      <w:r>
        <w:t>443. Consequently, the Authority considers the third criterion fulfilled in the upstream market for the supply of bedding products.</w:t>
      </w:r>
    </w:p>
    <w:p>
      <w:r>
        <w:t>On the risk of disappearance of an alternative for franchisees located in the DROM</w:t>
      </w:r>
    </w:p>
    <w:p>
      <w:r>
        <w:t>444. Firstly, regarding the inevitable disappearance of the target's assets from the market, as previously indicated, the investigation confirmed that there was no buyer for either all of the target's assets or for some of the target's assets. The franchise network under the "Conforama" brand would have disappeared.</w:t>
      </w:r>
    </w:p>
    <w:p>
      <w:r>
        <w:t>445. Secondly, regarding the requirement of neutrality, it emerges from the investigation that in the event of the disappearance of Conforama as a franchisor, there would be no alternative for franchisees outside of But in the DROM. Thus, in the absence of the operation, Conforama franchisees would have either turned to But or ceased their activity. The disappearance of Conforama does not appear to be less harmful to consumers than the takeover by But of Conforama.</w:t>
      </w:r>
    </w:p>
    <w:p>
      <w:r>
        <w:t>446. Consequently, the Authority considers the third criterion fulfilled regarding the franchisees located in the DROM.</w:t>
      </w:r>
    </w:p>
    <w:p>
      <w:r>
        <w:t>c) Conclusion on criterion no. 3</w:t>
      </w:r>
    </w:p>
    <w:p>
      <w:r>
        <w:t>447. In light of the elements provided by the notifying party, the Authority considers that the third criterion is fulfilled concerning all markets where the Authority has identified risks of harm to competition. The effects of the disappearance of Conforama France do not appear to be less harmful than those of the takeover of its assets, in the 56 local areas where risks of harm to competition have been identified, as well as in the upstream market for the supply of bedding products and regarding the franchisees located in the DROM.</w:t>
      </w:r>
    </w:p>
    <w:p>
      <w:r>
        <w:t>D. GENERAL CONCLUSION REGARDING THE ARGUMENT BASED ON THE FAILING COMPANY EXCEPTION</w:t>
      </w:r>
    </w:p>
    <w:p>
      <w:r>
        <w:t>448. Since all the criteria are fulfilled, the failing company exception is applicable concerning the 56 areas where risks of harm to competition have been identified, the upstream market for the supply of bedding products, and the franchisees located in the DROM.</w:t>
      </w:r>
    </w:p>
    <w:p>
      <w:r>
        <w:t>449. Thus, although the various competitive risks identified by the Authority are not offset by efficiency gains, the operation may be authorized unconditionally.</w:t>
      </w:r>
    </w:p>
    <w:p>
      <w:r>
        <w:rPr>
          <w:b/>
        </w:rPr>
        <w:t>[Pages 94–94]</w:t>
      </w:r>
    </w:p>
    <w:p>
      <w:r>
        <w:t xml:space="preserve">DECIDES  </w:t>
        <w:br/>
        <w:t xml:space="preserve">Single Article: The operation notified under number 20-102 is authorized.  </w:t>
        <w:br/>
        <w:t xml:space="preserve">Deliberated on the oral report of Ms. Julia Mahéo, Mr. Sylvain Moll, Mr. John Moore, Ms. Mathilde Poulain, and Ms. Géraldine Rousset, and the intervention of Mr. Étienne Chantrel, deputy general rapporteur, by Mr. Benoît Cœuré, president, Ms. Fabienne Siredey-Garnier, Ms. Irène Luc, and Mr. Emmanuel Combe, vice-presidents, and Mr. Jean-Yves Mano, member.  </w:t>
        <w:br/>
        <w:t xml:space="preserve">The session secretary, The president,  </w:t>
        <w:br/>
        <w:t xml:space="preserve">Caroline Orsel 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