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https://www.autoritedelaconcurrence.fr/fr/decision-de-controle-des-concentrations/relative-lacquisition-du-controle-exclusif-du-fonds-de</w:t>
      </w:r>
    </w:p>
    <w:p>
      <w:r>
        <w:t>Pages translated : 5</w:t>
      </w:r>
    </w:p>
    <w:p/>
    <w:p>
      <w:r>
        <w:rPr>
          <w:b/>
        </w:rPr>
        <w:t>[Pages 1–3]</w:t>
      </w:r>
    </w:p>
    <w:p>
      <w:r>
        <w:t xml:space="preserve">FRENCH REPUBLIC  </w:t>
        <w:br/>
        <w:t xml:space="preserve">Decision No. 11-DCC-45 of March 18, 2011  </w:t>
        <w:br/>
        <w:t xml:space="preserve">regarding the acquisition of exclusive control of the business of  </w:t>
        <w:br/>
        <w:t>the Cora Desmarais hypermarket by the company Sodex Desmarais</w:t>
      </w:r>
    </w:p>
    <w:p>
      <w:r>
        <w:t xml:space="preserve">The Competition Authority,  </w:t>
        <w:br/>
        <w:t xml:space="preserve">Having regard to the notification file sent to the merger service on December 3, 2010, and declared complete on March 3, 2011, concerning the acquisition of the Cora Desmarais hypermarket by the company Sodex Desmarais, formalized by a bilateral promise of transfer and acquisition of business, dated November 19,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Sodex Desmarais, created for the needs of the present operation, is jointly controlled by the companies Carcom and Établissements Jacques Nouy.  </w:t>
        <w:br/>
        <w:t xml:space="preserve">2. The company Carcom, exclusively controlled by Mr. Philippe Nouy, is active in Guadeloupe in the wholesale food distribution and wholesale self-service sector (Cash &amp; Carry activities), through its subsidiaries Établissements Auguste Nouy and Sodial Nouy SARL.  </w:t>
        <w:br/>
        <w:t xml:space="preserve">3. The company Établissements Jacques Nouy, owned by the Établissement Jacques Nouy group, is active in the wholesale food distribution and wholesale self-service sector. The group is also active in the import/export of beverages (alcoholic beverages, wines, and spirits as well as underwear) and acts as the exclusive distributor in Guadeloupe for various alcohol brands.  </w:t>
        <w:br/>
        <w:t>4. The Cora Desmarais hypermarket, with a sales area of 3,600 m², is located in the municipality of Basse-Terre in Guadeloupe. It is currently owned by the company Supermarchés Match Guadeloupe and operated under a management lease by the company Cora Guadeloupe.</w:t>
      </w:r>
    </w:p>
    <w:p>
      <w:r>
        <w:t xml:space="preserve">5. Under the terms of a promise of sale dated November 19, 2010, the Cora Desmarais hypermarket will be acquired by the company Sodex Desmarais and the management lease contract will be terminated. As it results in the takeover of the Cora Desmarais hypermarket by the company Sodex Desmarais, the present operation constitutes a concentration within the meaning of Article L. 430-1 of the Commercial Code.  </w:t>
        <w:br/>
        <w:t>6. The companies concerned together achieve a total worldwide turnover of more than 75 million euros (Carcom: 34.7 million euros for the fiscal year ending December 31, 2009; Établissements Jacques Nouy: 28.5 million euros for the same fiscal year; Cora Desmarais: 32.8 million euros for the same fiscal year). Each achieves a turnover in Guadeloupe exceeding 15 million euros (Carcom: 34.7 million euros for the fiscal year ending December 31, 2009; Établissements Jacques Nouy: 25.8 million euros for the same fiscal year; Cora Desmarais: 32.8 million euros for the same fiscal year). Given these turnover figures, the operation does not have a community dimension. On the other hand, the control thresholds related to retail trade mentioned in point III of Article L. 430-2 of the Commercial Code are exceeded.</w:t>
      </w:r>
    </w:p>
    <w:p>
      <w:r>
        <w:t xml:space="preserve">II. Definition of relevant markets  </w:t>
        <w:br/>
        <w:t xml:space="preserve">7. According to the consistent practice of national and community competition authorities, two categories of markets can be delineated in the food retail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  </w:t>
        <w:br/>
        <w:t xml:space="preserve">A. DOWNSTREAM MARKETS OF FOOD RETAIL  </w:t>
        <w:br/>
        <w:t xml:space="preserve">1. SERVICE MARKETS  </w:t>
        <w:br/>
        <w:t xml:space="preserve">8. Regarding the retail sale of everyday consumer goods, both community and national competition authorities have distinguished six categories of trade using several criteria, including store size, sales techniques, accessibility, the nature of the service provided, and the range of products offered: (i) hypermarkets, (ii) supermarkets, (iii) specialized trade, (iv) small retail trade, (v) large discounters, (vi) mail order sales.  </w:t>
        <w:br/>
        <w:t xml:space="preserve">9. Hypermarkets are usually defined as food-dominant stores with a legal sales area exceeding 2,500 m². This threshold must, however, be used with caution and may be adapted to the specific case, with stores whose area is close to the threshold, either above or below, potentially being in direct competition.  </w:t>
        <w:br/>
        <w:t xml:space="preserve">10. In the present case, the operation concerns the acquisition of a business operated under the Cora Desmarais brand, which currently occupies a sales area of 3,080 m². It therefore falls into the category of hypermarkets.  </w:t>
        <w:br/>
        <w:t xml:space="preserve">11. The notifying parties also engage in "Cash &amp; Carry" activities through several stores accessible not only to professionals but also to individuals. Sales to individuals represent approximately 50% of their turnover, and the notifying parties have estimated their market share by taking into account the "Cash &amp; Carry" stores.  </w:t>
        <w:br/>
        <w:t xml:space="preserve">12. However, "Cash &amp; Carry" stores differ from other more traditional forms of retail trade. Generally, these stores are reserved for holders of professional cards only. They also offer products in large and therefore bulky packaging. The degree of substitutability between "Cash &amp; Carry" stores and retail stores may be limited. However, this question may be left open in this case, as it does not affect the conclusions of the competitive analysis.  </w:t>
        <w:br/>
        <w:t xml:space="preserve">2. GEOGRAPHICAL DELIMITATION  </w:t>
        <w:br/>
        <w:t xml:space="preserve">13. In its recent decisions regarding operations involving hypermarkets or supermarkets, the Competition Authority has recalled that depending on the size of the stores concerned, the conditions of competition should be assessed over two different areas:  </w:t>
        <w:br/>
        <w:t xml:space="preserve">a. a first market where the demand from consumers in an area meets the supply of hypermarkets that they can access within 30 minutes of driving and which are, from their point of view, substitutable for each other;  </w:t>
        <w:br/>
        <w:t xml:space="preserve">b. a second market where the demand from consumers meets the supply of supermarkets and equivalent forms of trade located within 15 minutes of driving time. These latter forms of trade may include, in addition to supermarkets, hypermarkets located close to consumers and discount stores.  </w:t>
        <w:br/>
        <w:t xml:space="preserve">14. Other criteria may nevertheless be taken into account to assess the impact of a concentration on the competitive situation in retail distribution markets, which may lead to refining the usual delimitations presented above.  </w:t>
        <w:br/>
        <w:t xml:space="preserve">B. UPSTREAM SUPPLY MARKETS  </w:t>
        <w:br/>
        <w:t>15. Regarding supply markets, the European Commission has recognized the existence of national dimension markets by major product groups, a delineation followed by national authorities.</w:t>
      </w:r>
    </w:p>
    <w:p>
      <w:r>
        <w:rPr>
          <w:b/>
        </w:rPr>
        <w:t>[Pages 4–5]</w:t>
      </w:r>
    </w:p>
    <w:p>
      <w:r>
        <w:t>16. However, with regard to the DOM, the aforementioned opinion 09-D-45 of the Authority highlighted the very specific nature of the supply chains for consumer goods and its effects on the competitive balance of the markets concerned. Moreover, a portion of the supply for retail distribution brands predominantly in the food sector comes from local producers, in particular to satisfy local tastes and eating habits but also to limit import costs, including maritime freight and dock dues. Therefore, the geographic markets in terms of supply could be limited to each DOM on the one hand, and to the Antilles-Guyana area on the other hand.</w:t>
      </w:r>
    </w:p>
    <w:p>
      <w:r>
        <w:t>17. In the present case, the notifying parties are present upstream in the supply markets due to their wholesale activities.</w:t>
      </w:r>
    </w:p>
    <w:p>
      <w:r>
        <w:t>18. The effects of the operation will therefore be examined at the national level and at the level of the Antilles-Guyana area.</w:t>
      </w:r>
    </w:p>
    <w:p>
      <w:r>
        <w:t xml:space="preserve">III. Competitive Analysis  </w:t>
        <w:br/>
        <w:t xml:space="preserve">A. DOWNSTREAM MARKET OF FOOD DISTRIBUTION  </w:t>
        <w:br/>
        <w:t>19. In the first downstream market, the Cora Desmarais hypermarket is the only hypermarket located within a 30-minute catchment area around the Desmarais shopping center (Basse-Terre). The notified operation does not result in any overlap of activities between the notifying parties and Cora Desmarais in this market. It is therefore not likely to harm competition in this market through horizontal effects.</w:t>
      </w:r>
    </w:p>
    <w:p>
      <w:r>
        <w:t>20. In the second downstream market, which includes hypermarkets, supermarkets, discount stores, and equivalent forms of commerce within a 15-minute catchment area around the Desmarais shopping center (Basse-Terre), the Cora Desmarais hypermarket represents approximately 44% of the sales area (3,080 m² out of a total of 6,930 m²). The operation does not lead to any overlap of activities as the acquirers do not have any retail activities.</w:t>
      </w:r>
    </w:p>
    <w:p>
      <w:r>
        <w:t>21. In the event that their "Cash &amp; Carry" activities were taken into account, the addition of market share would be marginal. Furthermore, the area in question includes several supermarkets, discount stores, and convenience stores, notably belonging to the Cora group (23.8%), Le Métayer (17.3%), and Ho-Hio-Hen (4.3%).</w:t>
      </w:r>
    </w:p>
    <w:p>
      <w:r>
        <w:t>22. The operation is therefore not likely to harm competition through horizontal effects in the second downstream market.</w:t>
      </w:r>
    </w:p>
    <w:p>
      <w:r>
        <w:t xml:space="preserve">B. UPSTREAM SUPPLY MARKET  </w:t>
        <w:br/>
        <w:t>23. With regard to the national supply market, the supplies of the parties concerned include, on the one hand, branded products, some of which are distributed under exclusive distribution licenses in Guadeloupe, and on the other hand, direct purchases by the notifying parties from various national suppliers. In both cases, the strengthening of the purchasing power of the parties related to the acquisition of a single store will be marginal.</w:t>
      </w:r>
    </w:p>
    <w:p>
      <w:r>
        <w:t>24. Regarding the supply market for nationally or locally branded products distributed locally in the Antilles-Guyana area, it can be estimated at just over two billion euros. The local purchases of the notifying parties amount to 13.8 million euros, to which the local supply from Cora Desmarais for 16.6 million euros should be added, totaling approximately 30.4 million euros, which represents 1.52% of the total local supplies in the Antilles-Guyana area.</w:t>
      </w:r>
    </w:p>
    <w:p>
      <w:r>
        <w:t>25. In order to assess the impact of the operation by major product groups, the notifying party provided data regarding the purchases of the notifying parties and the target hypermarket from their common suppliers. The decision-making practice has considered that the market power of a distributor is not likely to constitute an obstacle to competition when it represents a percentage of the sales of the concerned suppliers below a threshold of around 20 to 22%. As the share of purchases by the notifying parties will remain below this threshold for all these suppliers, it should be considered that the operation is not likely to harm competition in the upstream supply markets.</w:t>
      </w:r>
    </w:p>
    <w:p>
      <w:r>
        <w:t xml:space="preserve">DECIDES  </w:t>
        <w:br/>
        <w:t xml:space="preserve">Sole Article: The operation notified under number 10-0224 is authorized.  </w:t>
        <w:br/>
        <w:t xml:space="preserve">The President,  </w:t>
        <w:br/>
        <w:t xml:space="preserve">Bruno Lasserre  </w:t>
        <w:br/>
        <w:t xml:space="preserve">Competition Authority  </w:t>
        <w:br/>
        <w:t>5 Decision of the European Commission No. IV/M.1684, Carrefour/Promodes, §52.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